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FE4" w:rsidRPr="00802020" w:rsidRDefault="00B86FE4" w:rsidP="00B86FE4">
      <w:bookmarkStart w:id="0" w:name="_GoBack"/>
      <w:bookmarkEnd w:id="0"/>
    </w:p>
    <w:p w:rsidR="00B86FE4" w:rsidRPr="00802020" w:rsidRDefault="00B86FE4" w:rsidP="00B86FE4">
      <w:pPr>
        <w:jc w:val="center"/>
        <w:rPr>
          <w:b/>
          <w:sz w:val="28"/>
        </w:rPr>
      </w:pPr>
      <w:r w:rsidRPr="00802020">
        <w:rPr>
          <w:b/>
          <w:sz w:val="28"/>
        </w:rPr>
        <w:t>&lt;Insert Name of Aged Care Facility&gt;</w:t>
      </w:r>
    </w:p>
    <w:p w:rsidR="00B86FE4" w:rsidRPr="00802020" w:rsidRDefault="00B86FE4" w:rsidP="00B86FE4">
      <w:pPr>
        <w:jc w:val="center"/>
        <w:rPr>
          <w:b/>
          <w:sz w:val="28"/>
        </w:rPr>
      </w:pPr>
      <w:r w:rsidRPr="00802020">
        <w:rPr>
          <w:b/>
          <w:sz w:val="28"/>
        </w:rPr>
        <w:t>Policy</w:t>
      </w:r>
    </w:p>
    <w:p w:rsidR="00B86FE4" w:rsidRPr="00802020" w:rsidRDefault="00B86FE4" w:rsidP="00B86FE4">
      <w:pPr>
        <w:jc w:val="center"/>
        <w:rPr>
          <w:b/>
          <w:sz w:val="28"/>
        </w:rPr>
      </w:pPr>
      <w:r w:rsidRPr="00802020">
        <w:rPr>
          <w:b/>
          <w:sz w:val="28"/>
        </w:rPr>
        <w:t>Alteration of Dosage Forms</w:t>
      </w:r>
    </w:p>
    <w:p w:rsidR="00B86FE4" w:rsidRPr="00045C1E" w:rsidRDefault="00B86FE4" w:rsidP="00B86FE4">
      <w:pPr>
        <w:pStyle w:val="Heading1"/>
      </w:pPr>
      <w:r w:rsidRPr="00802020">
        <w:t>Background</w:t>
      </w:r>
    </w:p>
    <w:p w:rsidR="00B86FE4" w:rsidRPr="00045C1E" w:rsidRDefault="00B86FE4" w:rsidP="00B86FE4">
      <w:pPr>
        <w:spacing w:after="240" w:line="300" w:lineRule="atLeast"/>
        <w:jc w:val="both"/>
        <w:rPr>
          <w:rFonts w:eastAsia="Times New Roman" w:cs="Times New Roman"/>
          <w:color w:val="222222"/>
          <w:sz w:val="20"/>
          <w:szCs w:val="20"/>
          <w:lang w:val="en-AU" w:eastAsia="en-AU"/>
        </w:rPr>
      </w:pPr>
      <w:r w:rsidRPr="00045C1E">
        <w:rPr>
          <w:rFonts w:eastAsia="Times New Roman" w:cs="Times New Roman"/>
          <w:bCs/>
          <w:color w:val="222222"/>
          <w:sz w:val="20"/>
          <w:szCs w:val="20"/>
          <w:lang w:val="en-AU" w:eastAsia="en-AU"/>
        </w:rPr>
        <w:t xml:space="preserve">Some residents might need to have oral formulations altered, for example, tablets broken or crushed to aid administration. However, some medicines cannot, or should not be altered and the resident might need alternative formulations or different medicines instead. These residents should be given the help they need to guarantee their medicines are managed safely and effectively. </w:t>
      </w:r>
    </w:p>
    <w:p w:rsidR="00B86FE4" w:rsidRPr="00045C1E" w:rsidRDefault="00B86FE4" w:rsidP="00B86FE4">
      <w:pPr>
        <w:spacing w:before="240" w:after="240" w:line="300" w:lineRule="atLeast"/>
        <w:jc w:val="both"/>
        <w:rPr>
          <w:rFonts w:eastAsia="Times New Roman" w:cs="Times New Roman"/>
          <w:color w:val="222222"/>
          <w:sz w:val="20"/>
          <w:szCs w:val="20"/>
          <w:lang w:val="en-AU" w:eastAsia="en-AU"/>
        </w:rPr>
      </w:pPr>
      <w:r w:rsidRPr="00045C1E">
        <w:rPr>
          <w:rFonts w:eastAsia="Times New Roman" w:cs="Times New Roman"/>
          <w:color w:val="222222"/>
          <w:sz w:val="20"/>
          <w:szCs w:val="20"/>
          <w:lang w:val="en-AU" w:eastAsia="en-AU"/>
        </w:rPr>
        <w:t xml:space="preserve">Wherever possible, alteration of formulations should be avoided. However, where alteration may be required, advice from a pharmacist, or a suitable resource should be sought before any formulation alteration is considered. The references which are deemed suitable are listed at the end of this policy. </w:t>
      </w:r>
    </w:p>
    <w:p w:rsidR="00B86FE4" w:rsidRPr="00045C1E" w:rsidRDefault="00B86FE4" w:rsidP="00B86FE4">
      <w:pPr>
        <w:spacing w:before="240" w:after="240" w:line="300" w:lineRule="atLeast"/>
        <w:jc w:val="both"/>
        <w:rPr>
          <w:rFonts w:eastAsia="Times New Roman" w:cs="Times New Roman"/>
          <w:color w:val="222222"/>
          <w:sz w:val="20"/>
          <w:szCs w:val="20"/>
          <w:lang w:val="en-AU" w:eastAsia="en-AU"/>
        </w:rPr>
      </w:pPr>
      <w:r w:rsidRPr="00045C1E">
        <w:rPr>
          <w:rFonts w:eastAsia="Times New Roman" w:cs="Helvetica"/>
          <w:color w:val="222222"/>
          <w:sz w:val="20"/>
          <w:szCs w:val="20"/>
          <w:lang w:val="en-AU" w:eastAsia="en-AU"/>
        </w:rPr>
        <w:t xml:space="preserve">Alternative forms that may be available include dispersible tablets, liquids, topical applications, patches, intranasal sprays, suppositories, injections or stable extemporaneous mixtures. </w:t>
      </w:r>
      <w:r w:rsidRPr="00045C1E">
        <w:rPr>
          <w:rFonts w:eastAsia="Times New Roman" w:cs="Times New Roman"/>
          <w:color w:val="222222"/>
          <w:sz w:val="20"/>
          <w:szCs w:val="20"/>
          <w:lang w:val="en-AU" w:eastAsia="en-AU"/>
        </w:rPr>
        <w:t xml:space="preserve">Altering solid dosage forms by means such as crushing tablets or opening capsules can make it easier to administer a medicine to a resident who has difficulty in swallowing. </w:t>
      </w:r>
    </w:p>
    <w:p w:rsidR="00B86FE4" w:rsidRPr="00045C1E" w:rsidRDefault="00B86FE4" w:rsidP="00B86FE4">
      <w:pPr>
        <w:spacing w:before="240" w:after="240" w:line="300" w:lineRule="atLeast"/>
        <w:jc w:val="both"/>
        <w:rPr>
          <w:rFonts w:eastAsia="Times New Roman" w:cs="Times New Roman"/>
          <w:color w:val="222222"/>
          <w:sz w:val="20"/>
          <w:szCs w:val="20"/>
          <w:lang w:val="en-AU" w:eastAsia="en-AU"/>
        </w:rPr>
      </w:pPr>
      <w:r w:rsidRPr="00045C1E">
        <w:rPr>
          <w:rFonts w:eastAsia="Times New Roman" w:cs="Helvetica"/>
          <w:color w:val="222222"/>
          <w:sz w:val="20"/>
          <w:szCs w:val="20"/>
          <w:lang w:val="en-AU" w:eastAsia="en-AU"/>
        </w:rPr>
        <w:t>Where the form of a medicine is altered to assist administration, such as by crushing, care must be taken that the alteration does not result in reduced effectiveness, a greater risk of toxicity or other harm, an unacceptable presentation to the resident in terms of taste or texture, or a risk to work health and safety. It is important to ensure the crushed medicine can be easily swallowed and that adequate fluid is given with altered dose forms to aid ingestion.</w:t>
      </w:r>
    </w:p>
    <w:p w:rsidR="00B86FE4" w:rsidRPr="00045C1E" w:rsidRDefault="00B86FE4" w:rsidP="00B86FE4">
      <w:pPr>
        <w:spacing w:before="240" w:after="240" w:line="300" w:lineRule="atLeast"/>
        <w:jc w:val="both"/>
        <w:rPr>
          <w:rFonts w:eastAsia="Times New Roman" w:cs="Times New Roman"/>
          <w:color w:val="222222"/>
          <w:sz w:val="20"/>
          <w:szCs w:val="20"/>
          <w:lang w:val="en-AU" w:eastAsia="en-AU"/>
        </w:rPr>
      </w:pPr>
      <w:r w:rsidRPr="00045C1E">
        <w:rPr>
          <w:rFonts w:eastAsia="Times New Roman" w:cs="Times New Roman"/>
          <w:color w:val="222222"/>
          <w:sz w:val="20"/>
          <w:szCs w:val="20"/>
          <w:lang w:val="en-AU" w:eastAsia="en-AU"/>
        </w:rPr>
        <w:t xml:space="preserve">However, it should be understood that in general, crushing a tablet changes the way that a medication dissolves and how it will be absorbed. In addition, the mixing of some swallowing agents (such as yoghurt, apple puree, and thickeners) may change the way that a medication is absorbed and how much is absorbed. </w:t>
      </w:r>
    </w:p>
    <w:p w:rsidR="00B86FE4" w:rsidRPr="00045C1E" w:rsidRDefault="00B86FE4" w:rsidP="00B86FE4">
      <w:pPr>
        <w:pStyle w:val="Heading1"/>
      </w:pPr>
      <w:r w:rsidRPr="00045C1E">
        <w:t>Addressing issues with swallowing of medications</w:t>
      </w:r>
    </w:p>
    <w:p w:rsidR="00B86FE4" w:rsidRDefault="00B86FE4" w:rsidP="00B86FE4">
      <w:pPr>
        <w:spacing w:before="240" w:after="240" w:line="300" w:lineRule="atLeast"/>
        <w:jc w:val="both"/>
        <w:rPr>
          <w:b/>
          <w:sz w:val="20"/>
          <w:lang w:val="en-AU" w:eastAsia="en-AU"/>
        </w:rPr>
      </w:pPr>
      <w:r w:rsidRPr="00045C1E">
        <w:rPr>
          <w:rFonts w:eastAsia="Times New Roman" w:cs="Times New Roman"/>
          <w:color w:val="222222"/>
          <w:sz w:val="20"/>
          <w:szCs w:val="20"/>
          <w:lang w:val="en-AU" w:eastAsia="en-AU"/>
        </w:rPr>
        <w:t xml:space="preserve">When a resident finds it difficult to swallow, the GP should be informed regarding this issue in order to perform an assessment regarding the necessity of some medications. The GP as part of this process should be encouraged to critically review the medications with regards to necessity and whether some medications given orally can be changed to an alternative route, or changed to a form that can be easily swallowed as intended by the manufacturer. The nursing staff in conjunction with the GP should consider the following in assessing swallowing ability. </w:t>
      </w:r>
      <w:r>
        <w:br w:type="page"/>
      </w:r>
    </w:p>
    <w:p w:rsidR="00B86FE4" w:rsidRPr="00045C1E" w:rsidRDefault="00B86FE4" w:rsidP="00B86FE4">
      <w:pPr>
        <w:pStyle w:val="Heading2"/>
      </w:pPr>
      <w:r w:rsidRPr="00045C1E">
        <w:lastRenderedPageBreak/>
        <w:t>Step 1: Assessment of swallowing ability</w:t>
      </w:r>
    </w:p>
    <w:p w:rsidR="00B86FE4" w:rsidRPr="00045C1E" w:rsidRDefault="00B86FE4" w:rsidP="00B86FE4">
      <w:pPr>
        <w:pStyle w:val="BodyText1"/>
        <w:numPr>
          <w:ilvl w:val="0"/>
          <w:numId w:val="2"/>
        </w:numPr>
        <w:spacing w:after="0"/>
        <w:rPr>
          <w:rFonts w:asciiTheme="minorHAnsi" w:hAnsiTheme="minorHAnsi"/>
          <w:color w:val="222222"/>
          <w:lang w:val="en-AU" w:eastAsia="en-AU"/>
        </w:rPr>
      </w:pPr>
      <w:r w:rsidRPr="00045C1E">
        <w:rPr>
          <w:rFonts w:asciiTheme="minorHAnsi" w:hAnsiTheme="minorHAnsi"/>
          <w:color w:val="222222"/>
          <w:lang w:val="en-AU" w:eastAsia="en-AU"/>
        </w:rPr>
        <w:t>Does the resident have difficulty in swallowing the prescribed therapy as ordered? Is this due to a:</w:t>
      </w:r>
    </w:p>
    <w:p w:rsidR="00B86FE4" w:rsidRPr="00045C1E" w:rsidRDefault="00B86FE4" w:rsidP="00B86FE4">
      <w:pPr>
        <w:pStyle w:val="BodyText1"/>
        <w:numPr>
          <w:ilvl w:val="1"/>
          <w:numId w:val="2"/>
        </w:numPr>
        <w:spacing w:after="0"/>
        <w:rPr>
          <w:rFonts w:asciiTheme="minorHAnsi" w:hAnsiTheme="minorHAnsi"/>
          <w:color w:val="222222"/>
          <w:lang w:val="en-AU" w:eastAsia="en-AU"/>
        </w:rPr>
      </w:pPr>
      <w:r w:rsidRPr="00045C1E">
        <w:rPr>
          <w:rFonts w:asciiTheme="minorHAnsi" w:hAnsiTheme="minorHAnsi"/>
          <w:color w:val="222222"/>
          <w:lang w:val="en-AU" w:eastAsia="en-AU"/>
        </w:rPr>
        <w:t>Physical inability</w:t>
      </w:r>
    </w:p>
    <w:p w:rsidR="00B86FE4" w:rsidRPr="00045C1E" w:rsidRDefault="00B86FE4" w:rsidP="00B86FE4">
      <w:pPr>
        <w:pStyle w:val="BodyText1"/>
        <w:numPr>
          <w:ilvl w:val="1"/>
          <w:numId w:val="2"/>
        </w:numPr>
        <w:spacing w:after="0"/>
        <w:rPr>
          <w:rFonts w:asciiTheme="minorHAnsi" w:hAnsiTheme="minorHAnsi"/>
          <w:color w:val="222222"/>
          <w:lang w:val="en-AU" w:eastAsia="en-AU"/>
        </w:rPr>
      </w:pPr>
      <w:r w:rsidRPr="00045C1E">
        <w:rPr>
          <w:rFonts w:asciiTheme="minorHAnsi" w:hAnsiTheme="minorHAnsi"/>
          <w:color w:val="222222"/>
          <w:lang w:val="en-AU" w:eastAsia="en-AU"/>
        </w:rPr>
        <w:t>Psychological inability</w:t>
      </w:r>
    </w:p>
    <w:p w:rsidR="00B86FE4" w:rsidRPr="00045C1E" w:rsidRDefault="00B86FE4" w:rsidP="00B86FE4">
      <w:pPr>
        <w:pStyle w:val="BodyText1"/>
        <w:numPr>
          <w:ilvl w:val="1"/>
          <w:numId w:val="2"/>
        </w:numPr>
        <w:spacing w:after="0"/>
        <w:rPr>
          <w:rFonts w:asciiTheme="minorHAnsi" w:hAnsiTheme="minorHAnsi"/>
          <w:color w:val="222222"/>
          <w:lang w:val="en-AU" w:eastAsia="en-AU"/>
        </w:rPr>
      </w:pPr>
      <w:r w:rsidRPr="00045C1E">
        <w:rPr>
          <w:rFonts w:asciiTheme="minorHAnsi" w:hAnsiTheme="minorHAnsi"/>
          <w:color w:val="222222"/>
          <w:lang w:val="en-AU" w:eastAsia="en-AU"/>
        </w:rPr>
        <w:t>Refusal</w:t>
      </w:r>
    </w:p>
    <w:p w:rsidR="00B86FE4" w:rsidRPr="00045C1E" w:rsidRDefault="00B86FE4" w:rsidP="00B86FE4">
      <w:pPr>
        <w:pStyle w:val="BodyText1"/>
        <w:numPr>
          <w:ilvl w:val="0"/>
          <w:numId w:val="2"/>
        </w:numPr>
        <w:spacing w:after="0"/>
        <w:rPr>
          <w:rFonts w:asciiTheme="minorHAnsi" w:hAnsiTheme="minorHAnsi"/>
          <w:color w:val="222222"/>
          <w:lang w:val="en-AU" w:eastAsia="en-AU"/>
        </w:rPr>
      </w:pPr>
      <w:r w:rsidRPr="00045C1E">
        <w:rPr>
          <w:rFonts w:asciiTheme="minorHAnsi" w:hAnsiTheme="minorHAnsi"/>
          <w:color w:val="222222"/>
          <w:lang w:val="en-AU" w:eastAsia="en-AU"/>
        </w:rPr>
        <w:t>Is it a transient problem?</w:t>
      </w:r>
    </w:p>
    <w:p w:rsidR="00B86FE4" w:rsidRPr="00045C1E" w:rsidRDefault="00B86FE4" w:rsidP="00B86FE4">
      <w:pPr>
        <w:pStyle w:val="BodyText1"/>
        <w:numPr>
          <w:ilvl w:val="0"/>
          <w:numId w:val="2"/>
        </w:numPr>
        <w:spacing w:after="0"/>
        <w:rPr>
          <w:rFonts w:asciiTheme="minorHAnsi" w:hAnsiTheme="minorHAnsi"/>
          <w:color w:val="222222"/>
          <w:lang w:val="en-AU" w:eastAsia="en-AU"/>
        </w:rPr>
      </w:pPr>
      <w:r w:rsidRPr="00045C1E">
        <w:rPr>
          <w:rFonts w:asciiTheme="minorHAnsi" w:hAnsiTheme="minorHAnsi"/>
          <w:color w:val="222222"/>
          <w:lang w:val="en-AU" w:eastAsia="en-AU"/>
        </w:rPr>
        <w:t>Is it worse at certain times of the day?</w:t>
      </w:r>
    </w:p>
    <w:p w:rsidR="00B86FE4" w:rsidRPr="00045C1E" w:rsidRDefault="00B86FE4" w:rsidP="00B86FE4">
      <w:pPr>
        <w:pStyle w:val="BodyText1"/>
        <w:numPr>
          <w:ilvl w:val="0"/>
          <w:numId w:val="2"/>
        </w:numPr>
        <w:spacing w:after="85"/>
        <w:rPr>
          <w:rFonts w:asciiTheme="minorHAnsi" w:hAnsiTheme="minorHAnsi"/>
          <w:color w:val="222222"/>
          <w:lang w:val="en-AU" w:eastAsia="en-AU"/>
        </w:rPr>
      </w:pPr>
      <w:r w:rsidRPr="00045C1E">
        <w:rPr>
          <w:rFonts w:asciiTheme="minorHAnsi" w:hAnsiTheme="minorHAnsi"/>
          <w:color w:val="222222"/>
          <w:lang w:val="en-AU" w:eastAsia="en-AU"/>
        </w:rPr>
        <w:t>Would referral to a speech pathologist assist?</w:t>
      </w:r>
    </w:p>
    <w:p w:rsidR="00B86FE4" w:rsidRDefault="00B86FE4" w:rsidP="00B86FE4">
      <w:pPr>
        <w:pStyle w:val="Heading2"/>
      </w:pPr>
      <w:r>
        <w:t xml:space="preserve">Step 2: Resident </w:t>
      </w:r>
      <w:r w:rsidRPr="00045C1E">
        <w:t>needs</w:t>
      </w:r>
      <w:r>
        <w:t xml:space="preserve"> assessment</w:t>
      </w:r>
    </w:p>
    <w:p w:rsidR="00B86FE4" w:rsidRPr="00045C1E" w:rsidRDefault="00B86FE4" w:rsidP="00B86FE4">
      <w:pPr>
        <w:spacing w:before="240" w:after="240" w:line="300" w:lineRule="atLeast"/>
        <w:rPr>
          <w:rFonts w:eastAsia="Times New Roman" w:cs="Times New Roman"/>
          <w:color w:val="222222"/>
          <w:sz w:val="20"/>
          <w:szCs w:val="20"/>
          <w:lang w:val="en-AU" w:eastAsia="en-AU"/>
        </w:rPr>
      </w:pPr>
      <w:r w:rsidRPr="00045C1E">
        <w:rPr>
          <w:rFonts w:eastAsia="Times New Roman" w:cs="Times New Roman"/>
          <w:color w:val="222222"/>
          <w:sz w:val="20"/>
          <w:szCs w:val="20"/>
          <w:lang w:val="en-AU" w:eastAsia="en-AU"/>
        </w:rPr>
        <w:t>The GP should be asked perform a needs assessment on the resident’s ongoing requirements for the crushed or altered medications. This should involve the following:</w:t>
      </w:r>
    </w:p>
    <w:p w:rsidR="00B86FE4" w:rsidRPr="00045C1E" w:rsidRDefault="00B86FE4" w:rsidP="00B86FE4">
      <w:pPr>
        <w:numPr>
          <w:ilvl w:val="2"/>
          <w:numId w:val="1"/>
        </w:numPr>
        <w:spacing w:after="90" w:line="300" w:lineRule="atLeast"/>
        <w:ind w:left="851" w:hanging="425"/>
        <w:rPr>
          <w:rFonts w:eastAsia="Times New Roman" w:cs="Helvetica"/>
          <w:color w:val="222222"/>
          <w:sz w:val="20"/>
          <w:szCs w:val="20"/>
          <w:lang w:val="en-AU" w:eastAsia="en-AU"/>
        </w:rPr>
      </w:pPr>
      <w:r w:rsidRPr="00045C1E">
        <w:rPr>
          <w:rFonts w:eastAsia="Times New Roman" w:cs="Helvetica"/>
          <w:color w:val="222222"/>
          <w:sz w:val="20"/>
          <w:szCs w:val="20"/>
          <w:lang w:val="en-AU" w:eastAsia="en-AU"/>
        </w:rPr>
        <w:t xml:space="preserve">The reason the resident is unable to swallow the medicine in its usual form, and any therapy that may assist to overcome the swallowing issue; </w:t>
      </w:r>
    </w:p>
    <w:p w:rsidR="00B86FE4" w:rsidRPr="00045C1E" w:rsidRDefault="00B86FE4" w:rsidP="00B86FE4">
      <w:pPr>
        <w:numPr>
          <w:ilvl w:val="2"/>
          <w:numId w:val="1"/>
        </w:numPr>
        <w:spacing w:after="90" w:line="300" w:lineRule="atLeast"/>
        <w:ind w:left="851" w:hanging="425"/>
        <w:rPr>
          <w:rFonts w:eastAsia="Times New Roman" w:cs="Helvetica"/>
          <w:color w:val="222222"/>
          <w:sz w:val="20"/>
          <w:szCs w:val="20"/>
          <w:lang w:val="en-AU" w:eastAsia="en-AU"/>
        </w:rPr>
      </w:pPr>
      <w:r w:rsidRPr="00045C1E">
        <w:rPr>
          <w:rFonts w:eastAsia="Times New Roman" w:cs="Helvetica"/>
          <w:color w:val="222222"/>
          <w:sz w:val="20"/>
          <w:szCs w:val="20"/>
          <w:lang w:val="en-AU" w:eastAsia="en-AU"/>
        </w:rPr>
        <w:t xml:space="preserve">Whether the resident is ordered any oral medicines that should not be modified; </w:t>
      </w:r>
    </w:p>
    <w:p w:rsidR="00B86FE4" w:rsidRPr="00045C1E" w:rsidRDefault="00B86FE4" w:rsidP="00B86FE4">
      <w:pPr>
        <w:numPr>
          <w:ilvl w:val="2"/>
          <w:numId w:val="1"/>
        </w:numPr>
        <w:spacing w:after="90" w:line="300" w:lineRule="atLeast"/>
        <w:ind w:left="851" w:hanging="425"/>
        <w:rPr>
          <w:rFonts w:eastAsia="Times New Roman" w:cs="Helvetica"/>
          <w:color w:val="222222"/>
          <w:sz w:val="20"/>
          <w:szCs w:val="20"/>
          <w:lang w:val="en-AU" w:eastAsia="en-AU"/>
        </w:rPr>
      </w:pPr>
      <w:r w:rsidRPr="00045C1E">
        <w:rPr>
          <w:rFonts w:eastAsia="Times New Roman" w:cs="Helvetica"/>
          <w:color w:val="222222"/>
          <w:sz w:val="20"/>
          <w:szCs w:val="20"/>
          <w:lang w:val="en-AU" w:eastAsia="en-AU"/>
        </w:rPr>
        <w:t xml:space="preserve">Whether the medicine is still indicated; </w:t>
      </w:r>
    </w:p>
    <w:p w:rsidR="00B86FE4" w:rsidRPr="00045C1E" w:rsidRDefault="00B86FE4" w:rsidP="00B86FE4">
      <w:pPr>
        <w:numPr>
          <w:ilvl w:val="2"/>
          <w:numId w:val="1"/>
        </w:numPr>
        <w:spacing w:after="90" w:line="300" w:lineRule="atLeast"/>
        <w:ind w:left="851" w:hanging="425"/>
        <w:rPr>
          <w:rFonts w:eastAsia="Times New Roman" w:cs="Helvetica"/>
          <w:color w:val="222222"/>
          <w:sz w:val="20"/>
          <w:szCs w:val="20"/>
          <w:lang w:val="en-AU" w:eastAsia="en-AU"/>
        </w:rPr>
      </w:pPr>
      <w:r w:rsidRPr="00045C1E">
        <w:rPr>
          <w:rFonts w:eastAsia="Times New Roman" w:cs="Helvetica"/>
          <w:color w:val="222222"/>
          <w:sz w:val="20"/>
          <w:szCs w:val="20"/>
          <w:lang w:val="en-AU" w:eastAsia="en-AU"/>
        </w:rPr>
        <w:t xml:space="preserve">If there are alternative forms available; and </w:t>
      </w:r>
    </w:p>
    <w:p w:rsidR="00B86FE4" w:rsidRPr="00045C1E" w:rsidRDefault="00B86FE4" w:rsidP="00B86FE4">
      <w:pPr>
        <w:numPr>
          <w:ilvl w:val="2"/>
          <w:numId w:val="1"/>
        </w:numPr>
        <w:spacing w:after="90" w:line="300" w:lineRule="atLeast"/>
        <w:ind w:left="851" w:hanging="425"/>
        <w:rPr>
          <w:rFonts w:eastAsia="Times New Roman" w:cs="Helvetica"/>
          <w:color w:val="222222"/>
          <w:sz w:val="20"/>
          <w:szCs w:val="20"/>
          <w:lang w:val="en-AU" w:eastAsia="en-AU"/>
        </w:rPr>
      </w:pPr>
      <w:r w:rsidRPr="00045C1E">
        <w:rPr>
          <w:rFonts w:eastAsia="Times New Roman" w:cs="Helvetica"/>
          <w:color w:val="222222"/>
          <w:sz w:val="20"/>
          <w:szCs w:val="20"/>
          <w:lang w:val="en-AU" w:eastAsia="en-AU"/>
        </w:rPr>
        <w:t>If there are alternative medicines available.</w:t>
      </w:r>
    </w:p>
    <w:p w:rsidR="00B86FE4" w:rsidRPr="00045C1E" w:rsidRDefault="00B86FE4" w:rsidP="00B86FE4">
      <w:pPr>
        <w:pStyle w:val="Heading2"/>
      </w:pPr>
      <w:r w:rsidRPr="00045C1E">
        <w:t>Step 3: Medication Review</w:t>
      </w:r>
    </w:p>
    <w:p w:rsidR="00B86FE4" w:rsidRPr="00045C1E" w:rsidRDefault="00B86FE4" w:rsidP="00B86FE4">
      <w:pPr>
        <w:spacing w:before="240" w:after="240" w:line="300" w:lineRule="atLeast"/>
        <w:rPr>
          <w:rFonts w:eastAsia="Times New Roman" w:cs="Times New Roman"/>
          <w:color w:val="222222"/>
          <w:sz w:val="20"/>
          <w:szCs w:val="20"/>
          <w:lang w:val="en-AU" w:eastAsia="en-AU"/>
        </w:rPr>
      </w:pPr>
      <w:r w:rsidRPr="00045C1E">
        <w:rPr>
          <w:rFonts w:eastAsia="Times New Roman" w:cs="Times New Roman"/>
          <w:color w:val="222222"/>
          <w:sz w:val="20"/>
          <w:szCs w:val="20"/>
          <w:lang w:val="en-AU" w:eastAsia="en-AU"/>
        </w:rPr>
        <w:t>The GP should be encouraged to consider a Residential Medication Management Review (RMMR) by Consultant Pharmacy Services</w:t>
      </w:r>
      <w:r>
        <w:rPr>
          <w:rFonts w:eastAsia="Times New Roman" w:cs="Times New Roman"/>
          <w:color w:val="222222"/>
          <w:sz w:val="20"/>
          <w:szCs w:val="20"/>
          <w:lang w:val="en-AU" w:eastAsia="en-AU"/>
        </w:rPr>
        <w:t>. The RMMR</w:t>
      </w:r>
      <w:r w:rsidRPr="00045C1E">
        <w:rPr>
          <w:rFonts w:eastAsia="Times New Roman" w:cs="Times New Roman"/>
          <w:color w:val="222222"/>
          <w:sz w:val="20"/>
          <w:szCs w:val="20"/>
          <w:lang w:val="en-AU" w:eastAsia="en-AU"/>
        </w:rPr>
        <w:t xml:space="preserve"> </w:t>
      </w:r>
      <w:r>
        <w:rPr>
          <w:rFonts w:eastAsia="Times New Roman" w:cs="Times New Roman"/>
          <w:color w:val="222222"/>
          <w:sz w:val="20"/>
          <w:szCs w:val="20"/>
          <w:lang w:val="en-AU" w:eastAsia="en-AU"/>
        </w:rPr>
        <w:t xml:space="preserve">will </w:t>
      </w:r>
      <w:r w:rsidRPr="00045C1E">
        <w:rPr>
          <w:rFonts w:eastAsia="Times New Roman" w:cs="Times New Roman"/>
          <w:color w:val="222222"/>
          <w:sz w:val="20"/>
          <w:szCs w:val="20"/>
          <w:lang w:val="en-AU" w:eastAsia="en-AU"/>
        </w:rPr>
        <w:t xml:space="preserve">assist in the </w:t>
      </w:r>
      <w:r>
        <w:rPr>
          <w:rFonts w:eastAsia="Times New Roman" w:cs="Times New Roman"/>
          <w:color w:val="222222"/>
          <w:sz w:val="20"/>
          <w:szCs w:val="20"/>
          <w:lang w:val="en-AU" w:eastAsia="en-AU"/>
        </w:rPr>
        <w:t xml:space="preserve">assessment </w:t>
      </w:r>
      <w:r w:rsidRPr="00045C1E">
        <w:rPr>
          <w:rFonts w:eastAsia="Times New Roman" w:cs="Times New Roman"/>
          <w:color w:val="222222"/>
          <w:sz w:val="20"/>
          <w:szCs w:val="20"/>
          <w:lang w:val="en-AU" w:eastAsia="en-AU"/>
        </w:rPr>
        <w:t xml:space="preserve">of the necessity of medications, </w:t>
      </w:r>
      <w:r>
        <w:rPr>
          <w:rFonts w:eastAsia="Times New Roman" w:cs="Times New Roman"/>
          <w:color w:val="222222"/>
          <w:sz w:val="20"/>
          <w:szCs w:val="20"/>
          <w:lang w:val="en-AU" w:eastAsia="en-AU"/>
        </w:rPr>
        <w:t xml:space="preserve">medications that may be contributing to swallowing difficulties, </w:t>
      </w:r>
      <w:r w:rsidRPr="00045C1E">
        <w:rPr>
          <w:rFonts w:eastAsia="Times New Roman" w:cs="Times New Roman"/>
          <w:color w:val="222222"/>
          <w:sz w:val="20"/>
          <w:szCs w:val="20"/>
          <w:lang w:val="en-AU" w:eastAsia="en-AU"/>
        </w:rPr>
        <w:t xml:space="preserve">and the identification of suitable </w:t>
      </w:r>
      <w:r>
        <w:rPr>
          <w:rFonts w:eastAsia="Times New Roman" w:cs="Times New Roman"/>
          <w:color w:val="222222"/>
          <w:sz w:val="20"/>
          <w:szCs w:val="20"/>
          <w:lang w:val="en-AU" w:eastAsia="en-AU"/>
        </w:rPr>
        <w:t xml:space="preserve">alternative </w:t>
      </w:r>
      <w:r w:rsidRPr="00045C1E">
        <w:rPr>
          <w:rFonts w:eastAsia="Times New Roman" w:cs="Times New Roman"/>
          <w:color w:val="222222"/>
          <w:sz w:val="20"/>
          <w:szCs w:val="20"/>
          <w:lang w:val="en-AU" w:eastAsia="en-AU"/>
        </w:rPr>
        <w:t xml:space="preserve">dosage forms. </w:t>
      </w:r>
    </w:p>
    <w:p w:rsidR="00B86FE4" w:rsidRPr="00045C1E" w:rsidRDefault="00B86FE4" w:rsidP="00B86FE4">
      <w:pPr>
        <w:pStyle w:val="Heading1"/>
      </w:pPr>
      <w:r w:rsidRPr="00045C1E">
        <w:t>Staff Training</w:t>
      </w:r>
    </w:p>
    <w:p w:rsidR="00B86FE4" w:rsidRPr="00045C1E" w:rsidRDefault="00B86FE4" w:rsidP="00B86FE4">
      <w:pPr>
        <w:spacing w:before="240" w:after="240" w:line="300" w:lineRule="atLeast"/>
        <w:rPr>
          <w:rFonts w:eastAsia="Times New Roman" w:cs="Times New Roman"/>
          <w:color w:val="222222"/>
          <w:sz w:val="20"/>
          <w:szCs w:val="20"/>
          <w:lang w:val="en-AU" w:eastAsia="en-AU"/>
        </w:rPr>
      </w:pPr>
      <w:r w:rsidRPr="00045C1E">
        <w:rPr>
          <w:rFonts w:eastAsia="Times New Roman" w:cs="Times New Roman"/>
          <w:color w:val="222222"/>
          <w:sz w:val="20"/>
          <w:szCs w:val="20"/>
          <w:lang w:val="en-AU" w:eastAsia="en-AU"/>
        </w:rPr>
        <w:t xml:space="preserve">All </w:t>
      </w:r>
      <w:r>
        <w:rPr>
          <w:rFonts w:eastAsia="Times New Roman" w:cs="Times New Roman"/>
          <w:color w:val="222222"/>
          <w:sz w:val="20"/>
          <w:szCs w:val="20"/>
          <w:lang w:val="en-AU" w:eastAsia="en-AU"/>
        </w:rPr>
        <w:t>s</w:t>
      </w:r>
      <w:r w:rsidRPr="00045C1E">
        <w:rPr>
          <w:rFonts w:eastAsia="Times New Roman" w:cs="Times New Roman"/>
          <w:color w:val="222222"/>
          <w:sz w:val="20"/>
          <w:szCs w:val="20"/>
          <w:lang w:val="en-AU" w:eastAsia="en-AU"/>
        </w:rPr>
        <w:t xml:space="preserve">taff </w:t>
      </w:r>
      <w:r w:rsidR="00171108">
        <w:rPr>
          <w:rFonts w:eastAsia="Times New Roman" w:cs="Times New Roman"/>
          <w:color w:val="222222"/>
          <w:sz w:val="20"/>
          <w:szCs w:val="20"/>
          <w:lang w:val="en-AU" w:eastAsia="en-AU"/>
        </w:rPr>
        <w:t xml:space="preserve">involved in the administration of medication </w:t>
      </w:r>
      <w:r w:rsidRPr="00045C1E">
        <w:rPr>
          <w:rFonts w:eastAsia="Times New Roman" w:cs="Times New Roman"/>
          <w:color w:val="222222"/>
          <w:sz w:val="20"/>
          <w:szCs w:val="20"/>
          <w:lang w:val="en-AU" w:eastAsia="en-AU"/>
        </w:rPr>
        <w:t>should be familiar with the resources listed at the end of this policy</w:t>
      </w:r>
      <w:r>
        <w:rPr>
          <w:rFonts w:eastAsia="Times New Roman" w:cs="Times New Roman"/>
          <w:color w:val="222222"/>
          <w:sz w:val="20"/>
          <w:szCs w:val="20"/>
          <w:lang w:val="en-AU" w:eastAsia="en-AU"/>
        </w:rPr>
        <w:t xml:space="preserve">. They </w:t>
      </w:r>
      <w:r w:rsidRPr="00045C1E">
        <w:rPr>
          <w:rFonts w:eastAsia="Times New Roman" w:cs="Times New Roman"/>
          <w:color w:val="222222"/>
          <w:sz w:val="20"/>
          <w:szCs w:val="20"/>
          <w:lang w:val="en-AU" w:eastAsia="en-AU"/>
        </w:rPr>
        <w:t xml:space="preserve">should be aware of the issues associated with alteration of dosage forms. </w:t>
      </w:r>
    </w:p>
    <w:p w:rsidR="00B86FE4" w:rsidRPr="00045C1E" w:rsidRDefault="00B86FE4" w:rsidP="00B86FE4">
      <w:pPr>
        <w:spacing w:before="240" w:after="240" w:line="300" w:lineRule="atLeast"/>
        <w:jc w:val="both"/>
        <w:rPr>
          <w:rFonts w:eastAsia="Times New Roman" w:cs="Times New Roman"/>
          <w:color w:val="222222"/>
          <w:sz w:val="20"/>
          <w:szCs w:val="20"/>
          <w:lang w:val="en-AU" w:eastAsia="en-AU"/>
        </w:rPr>
      </w:pPr>
      <w:r w:rsidRPr="00045C1E">
        <w:rPr>
          <w:rFonts w:eastAsia="Times New Roman" w:cs="Times New Roman"/>
          <w:color w:val="222222"/>
          <w:sz w:val="20"/>
          <w:szCs w:val="20"/>
          <w:lang w:val="en-AU" w:eastAsia="en-AU"/>
        </w:rPr>
        <w:t xml:space="preserve">Staff should not alter a medicine unless the GP has endorsed that this is appropriate. In addition, the nursing staff should not alter medications on instruction from the GP whereby based on the information that have available to them they believe that it is not in the best interests of the patients health and wellbeing. They should check the dose administration aid or medicine container for any instructions about altering the oral formulation (e.g. ‘do not crush or chew) before helping the consumer. Care workers who are asked to alter oral formulations against the advice of pharmacists or organisations should refer the matter to their supervisor. Care workers should be guided by their organisation’s policies and procedures on medication management. </w:t>
      </w:r>
    </w:p>
    <w:p w:rsidR="00171108" w:rsidRDefault="00171108">
      <w:pPr>
        <w:rPr>
          <w:b/>
          <w:sz w:val="28"/>
        </w:rPr>
      </w:pPr>
      <w:r>
        <w:br w:type="page"/>
      </w:r>
    </w:p>
    <w:p w:rsidR="00B86FE4" w:rsidRPr="00171108" w:rsidRDefault="00B86FE4" w:rsidP="00171108">
      <w:pPr>
        <w:pStyle w:val="Heading1"/>
      </w:pPr>
      <w:r w:rsidRPr="00171108">
        <w:lastRenderedPageBreak/>
        <w:t>Alternative forms of medication</w:t>
      </w:r>
    </w:p>
    <w:p w:rsidR="00B86FE4" w:rsidRPr="00045C1E" w:rsidRDefault="00B86FE4" w:rsidP="00B86FE4">
      <w:pPr>
        <w:spacing w:before="240" w:after="120" w:line="360" w:lineRule="auto"/>
        <w:jc w:val="both"/>
        <w:outlineLvl w:val="2"/>
        <w:rPr>
          <w:rFonts w:eastAsia="Times New Roman" w:cs="Times New Roman"/>
          <w:color w:val="222222"/>
          <w:sz w:val="20"/>
          <w:szCs w:val="20"/>
          <w:lang w:val="en-AU" w:eastAsia="en-AU"/>
        </w:rPr>
      </w:pPr>
      <w:r w:rsidRPr="00045C1E">
        <w:rPr>
          <w:rFonts w:eastAsia="Times New Roman" w:cs="Times New Roman"/>
          <w:color w:val="222222"/>
          <w:sz w:val="20"/>
          <w:szCs w:val="20"/>
          <w:lang w:val="en-AU" w:eastAsia="en-AU"/>
        </w:rPr>
        <w:t>Wherever possible, oral dose forms of medicines should not be altered. Some medicines must not be altered at all</w:t>
      </w:r>
      <w:r w:rsidR="00171108">
        <w:rPr>
          <w:rFonts w:eastAsia="Times New Roman" w:cs="Times New Roman"/>
          <w:color w:val="222222"/>
          <w:sz w:val="20"/>
          <w:szCs w:val="20"/>
          <w:lang w:val="en-AU" w:eastAsia="en-AU"/>
        </w:rPr>
        <w:t>,</w:t>
      </w:r>
      <w:r w:rsidRPr="00045C1E">
        <w:rPr>
          <w:rFonts w:eastAsia="Times New Roman" w:cs="Times New Roman"/>
          <w:color w:val="222222"/>
          <w:sz w:val="20"/>
          <w:szCs w:val="20"/>
          <w:lang w:val="en-AU" w:eastAsia="en-AU"/>
        </w:rPr>
        <w:t xml:space="preserve"> and if administration is an issue, an alternative medicine or different </w:t>
      </w:r>
      <w:r w:rsidR="00171108">
        <w:rPr>
          <w:rFonts w:eastAsia="Times New Roman" w:cs="Times New Roman"/>
          <w:color w:val="222222"/>
          <w:sz w:val="20"/>
          <w:szCs w:val="20"/>
          <w:lang w:val="en-AU" w:eastAsia="en-AU"/>
        </w:rPr>
        <w:t xml:space="preserve">dosage </w:t>
      </w:r>
      <w:r w:rsidRPr="00045C1E">
        <w:rPr>
          <w:rFonts w:eastAsia="Times New Roman" w:cs="Times New Roman"/>
          <w:color w:val="222222"/>
          <w:sz w:val="20"/>
          <w:szCs w:val="20"/>
          <w:lang w:val="en-AU" w:eastAsia="en-AU"/>
        </w:rPr>
        <w:t xml:space="preserve">form of the medicine should be </w:t>
      </w:r>
      <w:r w:rsidR="00171108">
        <w:rPr>
          <w:rFonts w:eastAsia="Times New Roman" w:cs="Times New Roman"/>
          <w:color w:val="222222"/>
          <w:sz w:val="20"/>
          <w:szCs w:val="20"/>
          <w:lang w:val="en-AU" w:eastAsia="en-AU"/>
        </w:rPr>
        <w:t>used in preference to altering oral dosage forms</w:t>
      </w:r>
      <w:r w:rsidRPr="00045C1E">
        <w:rPr>
          <w:rFonts w:eastAsia="Times New Roman" w:cs="Times New Roman"/>
          <w:color w:val="222222"/>
          <w:sz w:val="20"/>
          <w:szCs w:val="20"/>
          <w:lang w:val="en-AU" w:eastAsia="en-AU"/>
        </w:rPr>
        <w:t xml:space="preserve">. Alternative forms that may be available include dispersible tablets, liquids, topical applications, patches, intranasal sprays, suppositories, injections or stable extemporaneous mixtures. Staff should use an appropriate reference in ensuring the safety of a medication when it may be altered. They should refer to a reference listed in the resource list at the end of this policy. </w:t>
      </w:r>
    </w:p>
    <w:p w:rsidR="00B86FE4" w:rsidRPr="00045C1E" w:rsidRDefault="00B86FE4" w:rsidP="00171108">
      <w:pPr>
        <w:pStyle w:val="Heading1"/>
      </w:pPr>
      <w:r w:rsidRPr="00045C1E">
        <w:t>Reducing the risk of cross-contamination</w:t>
      </w:r>
      <w:r w:rsidR="00171108">
        <w:t xml:space="preserve"> and incidental exposure</w:t>
      </w:r>
    </w:p>
    <w:p w:rsidR="00171108" w:rsidRDefault="00B86FE4" w:rsidP="00B86FE4">
      <w:pPr>
        <w:spacing w:after="240" w:line="300" w:lineRule="atLeast"/>
        <w:jc w:val="both"/>
        <w:rPr>
          <w:rFonts w:eastAsia="Times New Roman" w:cs="Helvetica"/>
          <w:color w:val="222222"/>
          <w:sz w:val="20"/>
          <w:szCs w:val="20"/>
          <w:lang w:val="en-AU" w:eastAsia="en-AU"/>
        </w:rPr>
      </w:pPr>
      <w:r w:rsidRPr="00045C1E">
        <w:rPr>
          <w:rFonts w:eastAsia="Times New Roman" w:cs="Helvetica"/>
          <w:color w:val="222222"/>
          <w:sz w:val="20"/>
          <w:szCs w:val="20"/>
          <w:lang w:val="en-AU" w:eastAsia="en-AU"/>
        </w:rPr>
        <w:t>Cross-contamination of one resident’s medicine with that of another can occur where the same crushing tool is used for more than one resident without proper cleaning between residents. This can have serious consequences (for example if a resident is allergic to a medicine such as penicillin). Therefore a</w:t>
      </w:r>
      <w:r w:rsidR="00171108">
        <w:rPr>
          <w:rFonts w:eastAsia="Times New Roman" w:cs="Helvetica"/>
          <w:color w:val="222222"/>
          <w:sz w:val="20"/>
          <w:szCs w:val="20"/>
          <w:lang w:val="en-AU" w:eastAsia="en-AU"/>
        </w:rPr>
        <w:t>ny</w:t>
      </w:r>
      <w:r w:rsidRPr="00045C1E">
        <w:rPr>
          <w:rFonts w:eastAsia="Times New Roman" w:cs="Helvetica"/>
          <w:color w:val="222222"/>
          <w:sz w:val="20"/>
          <w:szCs w:val="20"/>
          <w:lang w:val="en-AU" w:eastAsia="en-AU"/>
        </w:rPr>
        <w:t xml:space="preserve"> device that is used </w:t>
      </w:r>
      <w:r w:rsidR="00171108">
        <w:rPr>
          <w:rFonts w:eastAsia="Times New Roman" w:cs="Helvetica"/>
          <w:color w:val="222222"/>
          <w:sz w:val="20"/>
          <w:szCs w:val="20"/>
          <w:lang w:val="en-AU" w:eastAsia="en-AU"/>
        </w:rPr>
        <w:t>to alter a dosage form should be thoroughly cleaned after use for each resident. This includes tablet crushers and pill splitters.</w:t>
      </w:r>
    </w:p>
    <w:p w:rsidR="00171108" w:rsidRDefault="00171108" w:rsidP="00B86FE4">
      <w:pPr>
        <w:spacing w:after="240" w:line="300" w:lineRule="atLeast"/>
        <w:jc w:val="both"/>
        <w:rPr>
          <w:rFonts w:eastAsia="Times New Roman" w:cs="Helvetica"/>
          <w:color w:val="222222"/>
          <w:sz w:val="20"/>
          <w:szCs w:val="20"/>
          <w:lang w:val="en-AU" w:eastAsia="en-AU"/>
        </w:rPr>
      </w:pPr>
      <w:r>
        <w:rPr>
          <w:rFonts w:eastAsia="Times New Roman" w:cs="Helvetica"/>
          <w:color w:val="222222"/>
          <w:sz w:val="20"/>
          <w:szCs w:val="20"/>
          <w:lang w:val="en-AU" w:eastAsia="en-AU"/>
        </w:rPr>
        <w:t xml:space="preserve">Furthermore, some medications may be specifically coated to prevent exposure to staff administering the medication, such as cytotoxics (e.g. methotrexate). Crushing these preparations potentially exposes staff to the medications which may have serious consequences. To prevent unnecessary exposure of staff to medications, </w:t>
      </w:r>
      <w:r w:rsidR="00B86FE4" w:rsidRPr="00045C1E">
        <w:rPr>
          <w:rFonts w:eastAsia="Times New Roman" w:cs="Helvetica"/>
          <w:color w:val="222222"/>
          <w:sz w:val="20"/>
          <w:szCs w:val="20"/>
          <w:lang w:val="en-AU" w:eastAsia="en-AU"/>
        </w:rPr>
        <w:t xml:space="preserve">ideally </w:t>
      </w:r>
      <w:r>
        <w:rPr>
          <w:rFonts w:eastAsia="Times New Roman" w:cs="Helvetica"/>
          <w:color w:val="222222"/>
          <w:sz w:val="20"/>
          <w:szCs w:val="20"/>
          <w:lang w:val="en-AU" w:eastAsia="en-AU"/>
        </w:rPr>
        <w:t xml:space="preserve">all </w:t>
      </w:r>
      <w:r w:rsidR="00B86FE4" w:rsidRPr="00045C1E">
        <w:rPr>
          <w:rFonts w:eastAsia="Times New Roman" w:cs="Helvetica"/>
          <w:color w:val="222222"/>
          <w:sz w:val="20"/>
          <w:szCs w:val="20"/>
          <w:lang w:val="en-AU" w:eastAsia="en-AU"/>
        </w:rPr>
        <w:t>medicines should be crushed together in a small plastic bag</w:t>
      </w:r>
      <w:r>
        <w:rPr>
          <w:rFonts w:eastAsia="Times New Roman" w:cs="Helvetica"/>
          <w:color w:val="222222"/>
          <w:sz w:val="20"/>
          <w:szCs w:val="20"/>
          <w:lang w:val="en-AU" w:eastAsia="en-AU"/>
        </w:rPr>
        <w:t xml:space="preserve"> with appropriate personal protective measures employed</w:t>
      </w:r>
      <w:r w:rsidR="00B86FE4" w:rsidRPr="00045C1E">
        <w:rPr>
          <w:rFonts w:eastAsia="Times New Roman" w:cs="Helvetica"/>
          <w:color w:val="222222"/>
          <w:sz w:val="20"/>
          <w:szCs w:val="20"/>
          <w:lang w:val="en-AU" w:eastAsia="en-AU"/>
        </w:rPr>
        <w:t xml:space="preserve">. </w:t>
      </w:r>
    </w:p>
    <w:p w:rsidR="00B86FE4" w:rsidRPr="00045C1E" w:rsidRDefault="00B86FE4" w:rsidP="00171108">
      <w:pPr>
        <w:pStyle w:val="Heading1"/>
      </w:pPr>
      <w:r w:rsidRPr="00045C1E">
        <w:t xml:space="preserve">Documentation of </w:t>
      </w:r>
      <w:r w:rsidR="00171108">
        <w:t>alteration of dosage form</w:t>
      </w:r>
    </w:p>
    <w:p w:rsidR="00B86FE4" w:rsidRPr="00045C1E" w:rsidRDefault="00351E49" w:rsidP="00351E49">
      <w:pPr>
        <w:spacing w:after="240" w:line="300" w:lineRule="atLeast"/>
        <w:jc w:val="both"/>
        <w:rPr>
          <w:rFonts w:eastAsia="Times New Roman" w:cs="Helvetica"/>
          <w:color w:val="222222"/>
          <w:sz w:val="20"/>
          <w:szCs w:val="20"/>
          <w:lang w:val="en-AU" w:eastAsia="en-AU"/>
        </w:rPr>
      </w:pPr>
      <w:r>
        <w:rPr>
          <w:rFonts w:eastAsia="Times New Roman" w:cs="Helvetica"/>
          <w:color w:val="222222"/>
          <w:sz w:val="20"/>
          <w:szCs w:val="20"/>
          <w:lang w:val="en-AU" w:eastAsia="en-AU"/>
        </w:rPr>
        <w:t xml:space="preserve">The assessment and outcome of any requirement to crush medication for a resident should be recorded in a suitable document, such as the drug chart. This should include directions for the </w:t>
      </w:r>
      <w:r w:rsidR="00B86FE4" w:rsidRPr="00045C1E">
        <w:rPr>
          <w:rFonts w:eastAsia="Times New Roman" w:cs="Helvetica"/>
          <w:color w:val="222222"/>
          <w:sz w:val="20"/>
          <w:szCs w:val="20"/>
          <w:lang w:val="en-AU" w:eastAsia="en-AU"/>
        </w:rPr>
        <w:t xml:space="preserve">on the </w:t>
      </w:r>
      <w:r>
        <w:rPr>
          <w:rFonts w:eastAsia="Times New Roman" w:cs="Helvetica"/>
          <w:color w:val="222222"/>
          <w:sz w:val="20"/>
          <w:szCs w:val="20"/>
          <w:lang w:val="en-AU" w:eastAsia="en-AU"/>
        </w:rPr>
        <w:t>medications that are to be crushed/ altered, medications that are not to be crushed/ altered and the appropriate method of crushing or alteration.</w:t>
      </w:r>
      <w:r w:rsidR="00B86FE4" w:rsidRPr="00045C1E">
        <w:rPr>
          <w:rFonts w:eastAsia="Times New Roman" w:cs="Helvetica"/>
          <w:color w:val="222222"/>
          <w:sz w:val="20"/>
          <w:szCs w:val="20"/>
          <w:lang w:val="en-AU" w:eastAsia="en-AU"/>
        </w:rPr>
        <w:t xml:space="preserve"> For example </w:t>
      </w:r>
      <w:r w:rsidR="00171108">
        <w:rPr>
          <w:rFonts w:eastAsia="Times New Roman" w:cs="Helvetica"/>
          <w:color w:val="222222"/>
          <w:sz w:val="20"/>
          <w:szCs w:val="20"/>
          <w:lang w:val="en-AU" w:eastAsia="en-AU"/>
        </w:rPr>
        <w:t>“D</w:t>
      </w:r>
      <w:r w:rsidR="00B86FE4" w:rsidRPr="00045C1E">
        <w:rPr>
          <w:rFonts w:eastAsia="Times New Roman" w:cs="Helvetica"/>
          <w:color w:val="222222"/>
          <w:sz w:val="20"/>
          <w:szCs w:val="20"/>
          <w:lang w:val="en-AU" w:eastAsia="en-AU"/>
        </w:rPr>
        <w:t xml:space="preserve">o </w:t>
      </w:r>
      <w:r w:rsidR="00171108">
        <w:rPr>
          <w:rFonts w:eastAsia="Times New Roman" w:cs="Helvetica"/>
          <w:color w:val="222222"/>
          <w:sz w:val="20"/>
          <w:szCs w:val="20"/>
          <w:lang w:val="en-AU" w:eastAsia="en-AU"/>
        </w:rPr>
        <w:t>N</w:t>
      </w:r>
      <w:r w:rsidR="00B86FE4" w:rsidRPr="00045C1E">
        <w:rPr>
          <w:rFonts w:eastAsia="Times New Roman" w:cs="Helvetica"/>
          <w:color w:val="222222"/>
          <w:sz w:val="20"/>
          <w:szCs w:val="20"/>
          <w:lang w:val="en-AU" w:eastAsia="en-AU"/>
        </w:rPr>
        <w:t xml:space="preserve">ot </w:t>
      </w:r>
      <w:r w:rsidR="00171108">
        <w:rPr>
          <w:rFonts w:eastAsia="Times New Roman" w:cs="Helvetica"/>
          <w:color w:val="222222"/>
          <w:sz w:val="20"/>
          <w:szCs w:val="20"/>
          <w:lang w:val="en-AU" w:eastAsia="en-AU"/>
        </w:rPr>
        <w:t>C</w:t>
      </w:r>
      <w:r w:rsidR="00B86FE4" w:rsidRPr="00045C1E">
        <w:rPr>
          <w:rFonts w:eastAsia="Times New Roman" w:cs="Helvetica"/>
          <w:color w:val="222222"/>
          <w:sz w:val="20"/>
          <w:szCs w:val="20"/>
          <w:lang w:val="en-AU" w:eastAsia="en-AU"/>
        </w:rPr>
        <w:t>rush</w:t>
      </w:r>
      <w:r w:rsidR="00171108">
        <w:rPr>
          <w:rFonts w:eastAsia="Times New Roman" w:cs="Helvetica"/>
          <w:color w:val="222222"/>
          <w:sz w:val="20"/>
          <w:szCs w:val="20"/>
          <w:lang w:val="en-AU" w:eastAsia="en-AU"/>
        </w:rPr>
        <w:t>”</w:t>
      </w:r>
      <w:r w:rsidR="00B86FE4" w:rsidRPr="00045C1E">
        <w:rPr>
          <w:rFonts w:eastAsia="Times New Roman" w:cs="Helvetica"/>
          <w:color w:val="222222"/>
          <w:sz w:val="20"/>
          <w:szCs w:val="20"/>
          <w:lang w:val="en-AU" w:eastAsia="en-AU"/>
        </w:rPr>
        <w:t xml:space="preserve"> or </w:t>
      </w:r>
      <w:r w:rsidR="00171108">
        <w:rPr>
          <w:rFonts w:eastAsia="Times New Roman" w:cs="Helvetica"/>
          <w:color w:val="222222"/>
          <w:sz w:val="20"/>
          <w:szCs w:val="20"/>
          <w:lang w:val="en-AU" w:eastAsia="en-AU"/>
        </w:rPr>
        <w:t>“D</w:t>
      </w:r>
      <w:r w:rsidR="00B86FE4" w:rsidRPr="00045C1E">
        <w:rPr>
          <w:rFonts w:eastAsia="Times New Roman" w:cs="Helvetica"/>
          <w:color w:val="222222"/>
          <w:sz w:val="20"/>
          <w:szCs w:val="20"/>
          <w:lang w:val="en-AU" w:eastAsia="en-AU"/>
        </w:rPr>
        <w:t xml:space="preserve">o </w:t>
      </w:r>
      <w:r w:rsidR="00171108">
        <w:rPr>
          <w:rFonts w:eastAsia="Times New Roman" w:cs="Helvetica"/>
          <w:color w:val="222222"/>
          <w:sz w:val="20"/>
          <w:szCs w:val="20"/>
          <w:lang w:val="en-AU" w:eastAsia="en-AU"/>
        </w:rPr>
        <w:t>N</w:t>
      </w:r>
      <w:r w:rsidR="00B86FE4" w:rsidRPr="00045C1E">
        <w:rPr>
          <w:rFonts w:eastAsia="Times New Roman" w:cs="Helvetica"/>
          <w:color w:val="222222"/>
          <w:sz w:val="20"/>
          <w:szCs w:val="20"/>
          <w:lang w:val="en-AU" w:eastAsia="en-AU"/>
        </w:rPr>
        <w:t xml:space="preserve">ot </w:t>
      </w:r>
      <w:r w:rsidR="00171108">
        <w:rPr>
          <w:rFonts w:eastAsia="Times New Roman" w:cs="Helvetica"/>
          <w:color w:val="222222"/>
          <w:sz w:val="20"/>
          <w:szCs w:val="20"/>
          <w:lang w:val="en-AU" w:eastAsia="en-AU"/>
        </w:rPr>
        <w:t>A</w:t>
      </w:r>
      <w:r w:rsidR="00B86FE4" w:rsidRPr="00045C1E">
        <w:rPr>
          <w:rFonts w:eastAsia="Times New Roman" w:cs="Helvetica"/>
          <w:color w:val="222222"/>
          <w:sz w:val="20"/>
          <w:szCs w:val="20"/>
          <w:lang w:val="en-AU" w:eastAsia="en-AU"/>
        </w:rPr>
        <w:t>lter</w:t>
      </w:r>
      <w:r w:rsidR="00171108">
        <w:rPr>
          <w:rFonts w:eastAsia="Times New Roman" w:cs="Helvetica"/>
          <w:color w:val="222222"/>
          <w:sz w:val="20"/>
          <w:szCs w:val="20"/>
          <w:lang w:val="en-AU" w:eastAsia="en-AU"/>
        </w:rPr>
        <w:t>”</w:t>
      </w:r>
      <w:r w:rsidR="00B86FE4" w:rsidRPr="00045C1E">
        <w:rPr>
          <w:rFonts w:eastAsia="Times New Roman" w:cs="Helvetica"/>
          <w:color w:val="222222"/>
          <w:sz w:val="20"/>
          <w:szCs w:val="20"/>
          <w:lang w:val="en-AU" w:eastAsia="en-AU"/>
        </w:rPr>
        <w:t xml:space="preserve"> stickers </w:t>
      </w:r>
      <w:r>
        <w:rPr>
          <w:rFonts w:eastAsia="Times New Roman" w:cs="Helvetica"/>
          <w:color w:val="222222"/>
          <w:sz w:val="20"/>
          <w:szCs w:val="20"/>
          <w:lang w:val="en-AU" w:eastAsia="en-AU"/>
        </w:rPr>
        <w:t xml:space="preserve">may </w:t>
      </w:r>
      <w:r w:rsidR="00B86FE4" w:rsidRPr="00045C1E">
        <w:rPr>
          <w:rFonts w:eastAsia="Times New Roman" w:cs="Helvetica"/>
          <w:color w:val="222222"/>
          <w:sz w:val="20"/>
          <w:szCs w:val="20"/>
          <w:lang w:val="en-AU" w:eastAsia="en-AU"/>
        </w:rPr>
        <w:t xml:space="preserve">be placed on the drug chart, and/or on the Dose Administration Aid. An appropriate and authorised member of nursing staff should use one of the resources listed at the end of this document as the </w:t>
      </w:r>
      <w:r w:rsidRPr="00045C1E">
        <w:rPr>
          <w:rFonts w:eastAsia="Times New Roman" w:cs="Helvetica"/>
          <w:color w:val="222222"/>
          <w:sz w:val="20"/>
          <w:szCs w:val="20"/>
          <w:lang w:val="en-AU" w:eastAsia="en-AU"/>
        </w:rPr>
        <w:t>source</w:t>
      </w:r>
      <w:r w:rsidR="00B86FE4" w:rsidRPr="00045C1E">
        <w:rPr>
          <w:rFonts w:eastAsia="Times New Roman" w:cs="Helvetica"/>
          <w:color w:val="222222"/>
          <w:sz w:val="20"/>
          <w:szCs w:val="20"/>
          <w:lang w:val="en-AU" w:eastAsia="en-AU"/>
        </w:rPr>
        <w:t xml:space="preserve"> of appropriate information </w:t>
      </w:r>
      <w:r w:rsidRPr="00045C1E">
        <w:rPr>
          <w:rFonts w:eastAsia="Times New Roman" w:cs="Helvetica"/>
          <w:color w:val="222222"/>
          <w:sz w:val="20"/>
          <w:szCs w:val="20"/>
          <w:lang w:val="en-AU" w:eastAsia="en-AU"/>
        </w:rPr>
        <w:t>about</w:t>
      </w:r>
      <w:r w:rsidR="00B86FE4" w:rsidRPr="00045C1E">
        <w:rPr>
          <w:rFonts w:eastAsia="Times New Roman" w:cs="Helvetica"/>
          <w:color w:val="222222"/>
          <w:sz w:val="20"/>
          <w:szCs w:val="20"/>
          <w:lang w:val="en-AU" w:eastAsia="en-AU"/>
        </w:rPr>
        <w:t xml:space="preserve"> which </w:t>
      </w:r>
      <w:r w:rsidRPr="00045C1E">
        <w:rPr>
          <w:rFonts w:eastAsia="Times New Roman" w:cs="Helvetica"/>
          <w:color w:val="222222"/>
          <w:sz w:val="20"/>
          <w:szCs w:val="20"/>
          <w:lang w:val="en-AU" w:eastAsia="en-AU"/>
        </w:rPr>
        <w:t>medications</w:t>
      </w:r>
      <w:r w:rsidR="00B86FE4" w:rsidRPr="00045C1E">
        <w:rPr>
          <w:rFonts w:eastAsia="Times New Roman" w:cs="Helvetica"/>
          <w:color w:val="222222"/>
          <w:sz w:val="20"/>
          <w:szCs w:val="20"/>
          <w:lang w:val="en-AU" w:eastAsia="en-AU"/>
        </w:rPr>
        <w:t xml:space="preserve"> can be crushed and the method of crushing or altering that should be employed. </w:t>
      </w:r>
      <w:r>
        <w:rPr>
          <w:rFonts w:eastAsia="Times New Roman" w:cs="Helvetica"/>
          <w:color w:val="222222"/>
          <w:sz w:val="20"/>
          <w:szCs w:val="20"/>
          <w:lang w:val="en-AU" w:eastAsia="en-AU"/>
        </w:rPr>
        <w:t>CPS</w:t>
      </w:r>
      <w:r w:rsidR="00B86FE4" w:rsidRPr="00045C1E">
        <w:rPr>
          <w:rFonts w:eastAsia="Times New Roman" w:cs="Helvetica"/>
          <w:color w:val="222222"/>
          <w:sz w:val="20"/>
          <w:szCs w:val="20"/>
          <w:lang w:val="en-AU" w:eastAsia="en-AU"/>
        </w:rPr>
        <w:t xml:space="preserve"> recommend</w:t>
      </w:r>
      <w:r>
        <w:rPr>
          <w:rFonts w:eastAsia="Times New Roman" w:cs="Helvetica"/>
          <w:color w:val="222222"/>
          <w:sz w:val="20"/>
          <w:szCs w:val="20"/>
          <w:lang w:val="en-AU" w:eastAsia="en-AU"/>
        </w:rPr>
        <w:t>s</w:t>
      </w:r>
      <w:r w:rsidR="00B86FE4" w:rsidRPr="00045C1E">
        <w:rPr>
          <w:rFonts w:eastAsia="Times New Roman" w:cs="Helvetica"/>
          <w:color w:val="222222"/>
          <w:sz w:val="20"/>
          <w:szCs w:val="20"/>
          <w:lang w:val="en-AU" w:eastAsia="en-AU"/>
        </w:rPr>
        <w:t xml:space="preserve"> that the Society of Hospital Pharmacists “Do Not Rush to Crush” </w:t>
      </w:r>
      <w:r>
        <w:rPr>
          <w:rFonts w:eastAsia="Times New Roman" w:cs="Helvetica"/>
          <w:color w:val="222222"/>
          <w:sz w:val="20"/>
          <w:szCs w:val="20"/>
          <w:lang w:val="en-AU" w:eastAsia="en-AU"/>
        </w:rPr>
        <w:t>H</w:t>
      </w:r>
      <w:r w:rsidR="00B86FE4" w:rsidRPr="00045C1E">
        <w:rPr>
          <w:rFonts w:eastAsia="Times New Roman" w:cs="Helvetica"/>
          <w:color w:val="222222"/>
          <w:sz w:val="20"/>
          <w:szCs w:val="20"/>
          <w:lang w:val="en-AU" w:eastAsia="en-AU"/>
        </w:rPr>
        <w:t>andbook is used</w:t>
      </w:r>
      <w:r>
        <w:rPr>
          <w:rFonts w:eastAsia="Times New Roman" w:cs="Helvetica"/>
          <w:color w:val="222222"/>
          <w:sz w:val="20"/>
          <w:szCs w:val="20"/>
          <w:lang w:val="en-AU" w:eastAsia="en-AU"/>
        </w:rPr>
        <w:t xml:space="preserve"> as the primary reference for this purpose</w:t>
      </w:r>
      <w:r w:rsidR="00B86FE4" w:rsidRPr="00045C1E">
        <w:rPr>
          <w:rFonts w:eastAsia="Times New Roman" w:cs="Helvetica"/>
          <w:color w:val="222222"/>
          <w:sz w:val="20"/>
          <w:szCs w:val="20"/>
          <w:lang w:val="en-AU" w:eastAsia="en-AU"/>
        </w:rPr>
        <w:t>.</w:t>
      </w:r>
    </w:p>
    <w:p w:rsidR="00B86FE4" w:rsidRPr="00045C1E" w:rsidRDefault="00B86FE4" w:rsidP="00351E49">
      <w:pPr>
        <w:pStyle w:val="Heading1"/>
      </w:pPr>
      <w:r w:rsidRPr="00045C1E">
        <w:t>Administration to the resident</w:t>
      </w:r>
    </w:p>
    <w:p w:rsidR="00351E49" w:rsidRDefault="00351E49" w:rsidP="00B86FE4">
      <w:pPr>
        <w:pStyle w:val="BodyText1"/>
        <w:numPr>
          <w:ilvl w:val="0"/>
          <w:numId w:val="2"/>
        </w:numPr>
        <w:spacing w:after="0"/>
        <w:rPr>
          <w:rFonts w:asciiTheme="minorHAnsi" w:hAnsiTheme="minorHAnsi" w:cs="Helvetica"/>
          <w:color w:val="222222"/>
          <w:lang w:val="en-AU" w:eastAsia="en-AU"/>
        </w:rPr>
      </w:pPr>
      <w:r>
        <w:rPr>
          <w:rFonts w:asciiTheme="minorHAnsi" w:hAnsiTheme="minorHAnsi" w:cs="Helvetica"/>
          <w:color w:val="222222"/>
          <w:lang w:val="en-AU" w:eastAsia="en-AU"/>
        </w:rPr>
        <w:t>The guiding principles of appropriate medication management should be followed at all times.</w:t>
      </w:r>
    </w:p>
    <w:p w:rsidR="00B86FE4" w:rsidRPr="00045C1E" w:rsidRDefault="00B86FE4" w:rsidP="00B86FE4">
      <w:pPr>
        <w:pStyle w:val="BodyText1"/>
        <w:numPr>
          <w:ilvl w:val="0"/>
          <w:numId w:val="2"/>
        </w:numPr>
        <w:spacing w:after="0"/>
        <w:rPr>
          <w:rFonts w:asciiTheme="minorHAnsi" w:hAnsiTheme="minorHAnsi" w:cs="Helvetica"/>
          <w:color w:val="222222"/>
          <w:lang w:val="en-AU" w:eastAsia="en-AU"/>
        </w:rPr>
      </w:pPr>
      <w:r w:rsidRPr="00045C1E">
        <w:rPr>
          <w:rFonts w:asciiTheme="minorHAnsi" w:hAnsiTheme="minorHAnsi" w:cs="Helvetica"/>
          <w:color w:val="222222"/>
          <w:lang w:val="en-AU" w:eastAsia="en-AU"/>
        </w:rPr>
        <w:t xml:space="preserve">Wherever possible administer </w:t>
      </w:r>
      <w:r w:rsidR="00351E49">
        <w:rPr>
          <w:rFonts w:asciiTheme="minorHAnsi" w:hAnsiTheme="minorHAnsi" w:cs="Helvetica"/>
          <w:color w:val="222222"/>
          <w:lang w:val="en-AU" w:eastAsia="en-AU"/>
        </w:rPr>
        <w:t xml:space="preserve">medications </w:t>
      </w:r>
      <w:r w:rsidRPr="00045C1E">
        <w:rPr>
          <w:rFonts w:asciiTheme="minorHAnsi" w:hAnsiTheme="minorHAnsi" w:cs="Helvetica"/>
          <w:color w:val="222222"/>
          <w:lang w:val="en-AU" w:eastAsia="en-AU"/>
        </w:rPr>
        <w:t xml:space="preserve">to residents when </w:t>
      </w:r>
      <w:r w:rsidR="00351E49">
        <w:rPr>
          <w:rFonts w:asciiTheme="minorHAnsi" w:hAnsiTheme="minorHAnsi" w:cs="Helvetica"/>
          <w:color w:val="222222"/>
          <w:lang w:val="en-AU" w:eastAsia="en-AU"/>
        </w:rPr>
        <w:t xml:space="preserve">they are </w:t>
      </w:r>
      <w:r w:rsidRPr="00045C1E">
        <w:rPr>
          <w:rFonts w:asciiTheme="minorHAnsi" w:hAnsiTheme="minorHAnsi" w:cs="Helvetica"/>
          <w:color w:val="222222"/>
          <w:lang w:val="en-AU" w:eastAsia="en-AU"/>
        </w:rPr>
        <w:t>upright.</w:t>
      </w:r>
    </w:p>
    <w:p w:rsidR="00B86FE4" w:rsidRPr="00045C1E" w:rsidRDefault="00B86FE4" w:rsidP="00B86FE4">
      <w:pPr>
        <w:pStyle w:val="BodyText1"/>
        <w:numPr>
          <w:ilvl w:val="0"/>
          <w:numId w:val="2"/>
        </w:numPr>
        <w:spacing w:after="0"/>
        <w:rPr>
          <w:rFonts w:asciiTheme="minorHAnsi" w:hAnsiTheme="minorHAnsi" w:cs="Helvetica"/>
          <w:color w:val="222222"/>
          <w:lang w:val="en-AU" w:eastAsia="en-AU"/>
        </w:rPr>
      </w:pPr>
      <w:r w:rsidRPr="00045C1E">
        <w:rPr>
          <w:rFonts w:asciiTheme="minorHAnsi" w:hAnsiTheme="minorHAnsi" w:cs="Helvetica"/>
          <w:color w:val="222222"/>
          <w:lang w:val="en-AU" w:eastAsia="en-AU"/>
        </w:rPr>
        <w:t>To avoid medicine degradation and inadvertent administration to the wrong resident, the crushed tablets and capsules should be administered as soon as possible after altering/mixing.</w:t>
      </w:r>
    </w:p>
    <w:p w:rsidR="00B86FE4" w:rsidRPr="00045C1E" w:rsidRDefault="00B86FE4" w:rsidP="00B86FE4">
      <w:pPr>
        <w:pStyle w:val="BodyText1"/>
        <w:numPr>
          <w:ilvl w:val="0"/>
          <w:numId w:val="2"/>
        </w:numPr>
        <w:spacing w:after="0"/>
        <w:rPr>
          <w:rFonts w:asciiTheme="minorHAnsi" w:hAnsiTheme="minorHAnsi" w:cs="Helvetica"/>
          <w:color w:val="222222"/>
          <w:lang w:val="en-AU" w:eastAsia="en-AU"/>
        </w:rPr>
      </w:pPr>
      <w:r w:rsidRPr="00045C1E">
        <w:rPr>
          <w:rFonts w:asciiTheme="minorHAnsi" w:hAnsiTheme="minorHAnsi" w:cs="Helvetica"/>
          <w:color w:val="222222"/>
          <w:lang w:val="en-AU" w:eastAsia="en-AU"/>
        </w:rPr>
        <w:t xml:space="preserve">Avoid sprinkling crushed tablets or </w:t>
      </w:r>
      <w:r w:rsidR="00351E49">
        <w:rPr>
          <w:rFonts w:asciiTheme="minorHAnsi" w:hAnsiTheme="minorHAnsi" w:cs="Helvetica"/>
          <w:color w:val="222222"/>
          <w:lang w:val="en-AU" w:eastAsia="en-AU"/>
        </w:rPr>
        <w:t xml:space="preserve">the </w:t>
      </w:r>
      <w:r w:rsidRPr="00045C1E">
        <w:rPr>
          <w:rFonts w:asciiTheme="minorHAnsi" w:hAnsiTheme="minorHAnsi" w:cs="Helvetica"/>
          <w:color w:val="222222"/>
          <w:lang w:val="en-AU" w:eastAsia="en-AU"/>
        </w:rPr>
        <w:t>contents of capsules onto meals where portions of the meal may be left uneaten.</w:t>
      </w:r>
    </w:p>
    <w:p w:rsidR="00B86FE4" w:rsidRPr="00045C1E" w:rsidRDefault="00B86FE4" w:rsidP="00B86FE4">
      <w:pPr>
        <w:pStyle w:val="BodyText1"/>
        <w:numPr>
          <w:ilvl w:val="0"/>
          <w:numId w:val="2"/>
        </w:numPr>
        <w:spacing w:after="0"/>
        <w:rPr>
          <w:rFonts w:asciiTheme="minorHAnsi" w:hAnsiTheme="minorHAnsi" w:cs="Helvetica"/>
          <w:color w:val="222222"/>
          <w:lang w:val="en-AU" w:eastAsia="en-AU"/>
        </w:rPr>
      </w:pPr>
      <w:r w:rsidRPr="00045C1E">
        <w:rPr>
          <w:rFonts w:asciiTheme="minorHAnsi" w:hAnsiTheme="minorHAnsi" w:cs="Helvetica"/>
          <w:color w:val="222222"/>
          <w:lang w:val="en-AU" w:eastAsia="en-AU"/>
        </w:rPr>
        <w:t>To minimise the risk of oesophageal irritation always administer the medicine with sufficient water or other suitable liquid.</w:t>
      </w:r>
    </w:p>
    <w:p w:rsidR="00B86FE4" w:rsidRPr="00045C1E" w:rsidRDefault="00B86FE4" w:rsidP="000C5204">
      <w:pPr>
        <w:pStyle w:val="Heading1"/>
      </w:pPr>
      <w:r w:rsidRPr="00045C1E">
        <w:lastRenderedPageBreak/>
        <w:t>Mixing vehicle</w:t>
      </w:r>
    </w:p>
    <w:p w:rsidR="00B86FE4" w:rsidRPr="00045C1E" w:rsidRDefault="00351E49" w:rsidP="00B86FE4">
      <w:pPr>
        <w:keepNext/>
        <w:spacing w:after="240" w:line="300" w:lineRule="atLeast"/>
        <w:jc w:val="both"/>
        <w:rPr>
          <w:rFonts w:eastAsia="Times New Roman" w:cs="Helvetica"/>
          <w:color w:val="222222"/>
          <w:sz w:val="20"/>
          <w:szCs w:val="20"/>
          <w:lang w:val="en-AU" w:eastAsia="en-AU"/>
        </w:rPr>
      </w:pPr>
      <w:r>
        <w:rPr>
          <w:rFonts w:eastAsia="Times New Roman" w:cs="Helvetica"/>
          <w:color w:val="222222"/>
          <w:sz w:val="20"/>
          <w:szCs w:val="20"/>
          <w:lang w:val="en-AU" w:eastAsia="en-AU"/>
        </w:rPr>
        <w:t>An appropriate mixing vehicle should be used for all medications that are crushed/ altered. Suitable mixing vehicles are described in t</w:t>
      </w:r>
      <w:r w:rsidR="00B86FE4" w:rsidRPr="00045C1E">
        <w:rPr>
          <w:rFonts w:eastAsia="Times New Roman" w:cs="Helvetica"/>
          <w:color w:val="222222"/>
          <w:sz w:val="20"/>
          <w:szCs w:val="20"/>
          <w:lang w:val="en-AU" w:eastAsia="en-AU"/>
        </w:rPr>
        <w:t>he Do Not Rush to Crush Handbook</w:t>
      </w:r>
      <w:r>
        <w:rPr>
          <w:rFonts w:eastAsia="Times New Roman" w:cs="Helvetica"/>
          <w:color w:val="222222"/>
          <w:sz w:val="20"/>
          <w:szCs w:val="20"/>
          <w:lang w:val="en-AU" w:eastAsia="en-AU"/>
        </w:rPr>
        <w:t>,</w:t>
      </w:r>
      <w:r w:rsidRPr="00351E49">
        <w:rPr>
          <w:rFonts w:eastAsia="Times New Roman" w:cs="Helvetica"/>
          <w:color w:val="222222"/>
          <w:sz w:val="20"/>
          <w:szCs w:val="20"/>
          <w:lang w:val="en-AU" w:eastAsia="en-AU"/>
        </w:rPr>
        <w:t xml:space="preserve"> </w:t>
      </w:r>
      <w:r w:rsidRPr="00045C1E">
        <w:rPr>
          <w:rFonts w:eastAsia="Times New Roman" w:cs="Helvetica"/>
          <w:color w:val="222222"/>
          <w:sz w:val="20"/>
          <w:szCs w:val="20"/>
          <w:lang w:val="en-AU" w:eastAsia="en-AU"/>
        </w:rPr>
        <w:t>such as a small amount of yoghurt (1</w:t>
      </w:r>
      <w:r>
        <w:rPr>
          <w:rFonts w:eastAsia="Times New Roman" w:cs="Helvetica"/>
          <w:color w:val="222222"/>
          <w:sz w:val="20"/>
          <w:szCs w:val="20"/>
          <w:lang w:val="en-AU" w:eastAsia="en-AU"/>
        </w:rPr>
        <w:t xml:space="preserve"> </w:t>
      </w:r>
      <w:r w:rsidRPr="00045C1E">
        <w:rPr>
          <w:rFonts w:eastAsia="Times New Roman" w:cs="Helvetica"/>
          <w:color w:val="222222"/>
          <w:sz w:val="20"/>
          <w:szCs w:val="20"/>
          <w:lang w:val="en-AU" w:eastAsia="en-AU"/>
        </w:rPr>
        <w:t>gram – half a teaspoon)</w:t>
      </w:r>
      <w:r w:rsidR="00B86FE4" w:rsidRPr="00045C1E">
        <w:rPr>
          <w:rFonts w:eastAsia="Times New Roman" w:cs="Helvetica"/>
          <w:color w:val="222222"/>
          <w:sz w:val="20"/>
          <w:szCs w:val="20"/>
          <w:lang w:val="en-AU" w:eastAsia="en-AU"/>
        </w:rPr>
        <w:t xml:space="preserve">. </w:t>
      </w:r>
      <w:r>
        <w:rPr>
          <w:rFonts w:eastAsia="Times New Roman" w:cs="Helvetica"/>
          <w:color w:val="222222"/>
          <w:sz w:val="20"/>
          <w:szCs w:val="20"/>
          <w:lang w:val="en-AU" w:eastAsia="en-AU"/>
        </w:rPr>
        <w:t>Alternatively</w:t>
      </w:r>
      <w:r w:rsidR="00B86FE4" w:rsidRPr="00045C1E">
        <w:rPr>
          <w:rFonts w:eastAsia="Times New Roman" w:cs="Helvetica"/>
          <w:color w:val="222222"/>
          <w:sz w:val="20"/>
          <w:szCs w:val="20"/>
          <w:lang w:val="en-AU" w:eastAsia="en-AU"/>
        </w:rPr>
        <w:t xml:space="preserve">, </w:t>
      </w:r>
      <w:r>
        <w:rPr>
          <w:rFonts w:eastAsia="Times New Roman" w:cs="Helvetica"/>
          <w:color w:val="222222"/>
          <w:sz w:val="20"/>
          <w:szCs w:val="20"/>
          <w:lang w:val="en-AU" w:eastAsia="en-AU"/>
        </w:rPr>
        <w:t xml:space="preserve">facilities may endorse alternative </w:t>
      </w:r>
      <w:r w:rsidR="00B86FE4" w:rsidRPr="00045C1E">
        <w:rPr>
          <w:rFonts w:eastAsia="Times New Roman" w:cs="Helvetica"/>
          <w:color w:val="222222"/>
          <w:sz w:val="20"/>
          <w:szCs w:val="20"/>
          <w:lang w:val="en-AU" w:eastAsia="en-AU"/>
        </w:rPr>
        <w:t>vehicle</w:t>
      </w:r>
      <w:r>
        <w:rPr>
          <w:rFonts w:eastAsia="Times New Roman" w:cs="Helvetica"/>
          <w:color w:val="222222"/>
          <w:sz w:val="20"/>
          <w:szCs w:val="20"/>
          <w:lang w:val="en-AU" w:eastAsia="en-AU"/>
        </w:rPr>
        <w:t>s</w:t>
      </w:r>
      <w:r w:rsidR="00B86FE4" w:rsidRPr="00045C1E">
        <w:rPr>
          <w:rFonts w:eastAsia="Times New Roman" w:cs="Helvetica"/>
          <w:color w:val="222222"/>
          <w:sz w:val="20"/>
          <w:szCs w:val="20"/>
          <w:lang w:val="en-AU" w:eastAsia="en-AU"/>
        </w:rPr>
        <w:t xml:space="preserve"> such as Gloup</w:t>
      </w:r>
      <w:r w:rsidRPr="00351E49">
        <w:rPr>
          <w:rFonts w:eastAsia="Times New Roman" w:cs="Helvetica"/>
          <w:color w:val="222222"/>
          <w:sz w:val="20"/>
          <w:szCs w:val="20"/>
          <w:vertAlign w:val="superscript"/>
          <w:lang w:val="en-AU" w:eastAsia="en-AU"/>
        </w:rPr>
        <w:t>TM</w:t>
      </w:r>
      <w:r w:rsidR="00B86FE4" w:rsidRPr="00045C1E">
        <w:rPr>
          <w:rFonts w:eastAsia="Times New Roman" w:cs="Helvetica"/>
          <w:color w:val="222222"/>
          <w:sz w:val="20"/>
          <w:szCs w:val="20"/>
          <w:lang w:val="en-AU" w:eastAsia="en-AU"/>
        </w:rPr>
        <w:t xml:space="preserve"> which is appropriate to assist in the ability of the resident to not have the medication altered in the first instance. </w:t>
      </w:r>
      <w:r>
        <w:rPr>
          <w:rFonts w:eastAsia="Times New Roman" w:cs="Helvetica"/>
          <w:color w:val="222222"/>
          <w:sz w:val="20"/>
          <w:szCs w:val="20"/>
          <w:lang w:val="en-AU" w:eastAsia="en-AU"/>
        </w:rPr>
        <w:t>Alternative t</w:t>
      </w:r>
      <w:r w:rsidR="00B86FE4" w:rsidRPr="00045C1E">
        <w:rPr>
          <w:rFonts w:eastAsia="Times New Roman" w:cs="Helvetica"/>
          <w:color w:val="222222"/>
          <w:sz w:val="20"/>
          <w:szCs w:val="20"/>
          <w:lang w:val="en-AU" w:eastAsia="en-AU"/>
        </w:rPr>
        <w:t>hickeners, chocola</w:t>
      </w:r>
      <w:r>
        <w:rPr>
          <w:rFonts w:eastAsia="Times New Roman" w:cs="Helvetica"/>
          <w:color w:val="222222"/>
          <w:sz w:val="20"/>
          <w:szCs w:val="20"/>
          <w:lang w:val="en-AU" w:eastAsia="en-AU"/>
        </w:rPr>
        <w:t xml:space="preserve">te sauce, </w:t>
      </w:r>
      <w:r w:rsidR="00B86FE4" w:rsidRPr="00045C1E">
        <w:rPr>
          <w:rFonts w:eastAsia="Times New Roman" w:cs="Helvetica"/>
          <w:color w:val="222222"/>
          <w:sz w:val="20"/>
          <w:szCs w:val="20"/>
          <w:lang w:val="en-AU" w:eastAsia="en-AU"/>
        </w:rPr>
        <w:t>puddings, and apple puree are not ideal medi</w:t>
      </w:r>
      <w:r>
        <w:rPr>
          <w:rFonts w:eastAsia="Times New Roman" w:cs="Helvetica"/>
          <w:color w:val="222222"/>
          <w:sz w:val="20"/>
          <w:szCs w:val="20"/>
          <w:lang w:val="en-AU" w:eastAsia="en-AU"/>
        </w:rPr>
        <w:t>a</w:t>
      </w:r>
      <w:r w:rsidR="00B86FE4" w:rsidRPr="00045C1E">
        <w:rPr>
          <w:rFonts w:eastAsia="Times New Roman" w:cs="Helvetica"/>
          <w:color w:val="222222"/>
          <w:sz w:val="20"/>
          <w:szCs w:val="20"/>
          <w:lang w:val="en-AU" w:eastAsia="en-AU"/>
        </w:rPr>
        <w:t xml:space="preserve"> to use</w:t>
      </w:r>
      <w:r>
        <w:rPr>
          <w:rFonts w:eastAsia="Times New Roman" w:cs="Helvetica"/>
          <w:color w:val="222222"/>
          <w:sz w:val="20"/>
          <w:szCs w:val="20"/>
          <w:lang w:val="en-AU" w:eastAsia="en-AU"/>
        </w:rPr>
        <w:t xml:space="preserve"> if possible</w:t>
      </w:r>
      <w:r w:rsidR="00B86FE4" w:rsidRPr="00045C1E">
        <w:rPr>
          <w:rFonts w:eastAsia="Times New Roman" w:cs="Helvetica"/>
          <w:color w:val="222222"/>
          <w:sz w:val="20"/>
          <w:szCs w:val="20"/>
          <w:lang w:val="en-AU" w:eastAsia="en-AU"/>
        </w:rPr>
        <w:t xml:space="preserve">. </w:t>
      </w:r>
    </w:p>
    <w:p w:rsidR="00B86FE4" w:rsidRPr="00045C1E" w:rsidRDefault="00B86FE4" w:rsidP="000C5204">
      <w:pPr>
        <w:pStyle w:val="Heading1"/>
      </w:pPr>
      <w:r w:rsidRPr="00045C1E">
        <w:t>Monitoring and assessment</w:t>
      </w:r>
    </w:p>
    <w:p w:rsidR="00B86FE4" w:rsidRDefault="00B86FE4" w:rsidP="00B86FE4">
      <w:pPr>
        <w:pStyle w:val="BodyText1"/>
        <w:rPr>
          <w:rFonts w:asciiTheme="minorHAnsi" w:hAnsiTheme="minorHAnsi" w:cs="Helvetica"/>
          <w:color w:val="222222"/>
          <w:lang w:val="en-AU" w:eastAsia="en-AU"/>
        </w:rPr>
      </w:pPr>
      <w:r w:rsidRPr="00045C1E">
        <w:rPr>
          <w:rFonts w:asciiTheme="minorHAnsi" w:hAnsiTheme="minorHAnsi" w:cs="Helvetica"/>
          <w:color w:val="222222"/>
          <w:lang w:val="en-AU" w:eastAsia="en-AU"/>
        </w:rPr>
        <w:t>It is especially important to monitor and assess therapeutic responses whenever medicines are modified. A lack of expected effect and/or untoward effects may be indicative of altered medicine absorption as a result of product alteration, and should trigger a review of practice. Every resident should have a review of their therapeutic response</w:t>
      </w:r>
      <w:r w:rsidR="000C5204" w:rsidRPr="000C5204">
        <w:rPr>
          <w:rFonts w:asciiTheme="minorHAnsi" w:hAnsiTheme="minorHAnsi" w:cs="Helvetica"/>
          <w:color w:val="222222"/>
          <w:lang w:val="en-AU" w:eastAsia="en-AU"/>
        </w:rPr>
        <w:t xml:space="preserve"> </w:t>
      </w:r>
      <w:r w:rsidR="000C5204" w:rsidRPr="00045C1E">
        <w:rPr>
          <w:rFonts w:asciiTheme="minorHAnsi" w:hAnsiTheme="minorHAnsi" w:cs="Helvetica"/>
          <w:color w:val="222222"/>
          <w:lang w:val="en-AU" w:eastAsia="en-AU"/>
        </w:rPr>
        <w:t>by the</w:t>
      </w:r>
      <w:r w:rsidR="000C5204">
        <w:rPr>
          <w:rFonts w:asciiTheme="minorHAnsi" w:hAnsiTheme="minorHAnsi" w:cs="Helvetica"/>
          <w:color w:val="222222"/>
          <w:lang w:val="en-AU" w:eastAsia="en-AU"/>
        </w:rPr>
        <w:t>ir</w:t>
      </w:r>
      <w:r w:rsidR="000C5204" w:rsidRPr="00045C1E">
        <w:rPr>
          <w:rFonts w:asciiTheme="minorHAnsi" w:hAnsiTheme="minorHAnsi" w:cs="Helvetica"/>
          <w:color w:val="222222"/>
          <w:lang w:val="en-AU" w:eastAsia="en-AU"/>
        </w:rPr>
        <w:t xml:space="preserve"> GP</w:t>
      </w:r>
      <w:r w:rsidR="000C5204">
        <w:rPr>
          <w:rFonts w:asciiTheme="minorHAnsi" w:hAnsiTheme="minorHAnsi" w:cs="Helvetica"/>
          <w:color w:val="222222"/>
          <w:lang w:val="en-AU" w:eastAsia="en-AU"/>
        </w:rPr>
        <w:t>,</w:t>
      </w:r>
      <w:r w:rsidRPr="00045C1E">
        <w:rPr>
          <w:rFonts w:asciiTheme="minorHAnsi" w:hAnsiTheme="minorHAnsi" w:cs="Helvetica"/>
          <w:color w:val="222222"/>
          <w:lang w:val="en-AU" w:eastAsia="en-AU"/>
        </w:rPr>
        <w:t xml:space="preserve"> noting that their medications are being altered. </w:t>
      </w:r>
    </w:p>
    <w:p w:rsidR="000C5204" w:rsidRPr="00045C1E" w:rsidRDefault="000C5204" w:rsidP="00B86FE4">
      <w:pPr>
        <w:pStyle w:val="BodyText1"/>
        <w:rPr>
          <w:rFonts w:asciiTheme="minorHAnsi" w:hAnsiTheme="minorHAnsi" w:cs="Helvetica"/>
          <w:color w:val="222222"/>
          <w:lang w:val="en-AU" w:eastAsia="en-AU"/>
        </w:rPr>
      </w:pPr>
      <w:r>
        <w:rPr>
          <w:rFonts w:asciiTheme="minorHAnsi" w:hAnsiTheme="minorHAnsi"/>
          <w:color w:val="222222"/>
          <w:lang w:val="en-AU" w:eastAsia="en-AU"/>
        </w:rPr>
        <w:t>Regular RMMRs are also recommended for all residents whom receive altered dosage forms of their medications to ensure ongoing safety and efficacy.</w:t>
      </w:r>
    </w:p>
    <w:p w:rsidR="00B86FE4" w:rsidRPr="00045C1E" w:rsidRDefault="00B86FE4" w:rsidP="000C5204">
      <w:pPr>
        <w:pStyle w:val="Heading1"/>
      </w:pPr>
      <w:r w:rsidRPr="00045C1E">
        <w:t>Resources</w:t>
      </w:r>
    </w:p>
    <w:p w:rsidR="00B86FE4" w:rsidRPr="000C5204" w:rsidRDefault="00B86FE4" w:rsidP="00B86FE4">
      <w:pPr>
        <w:rPr>
          <w:sz w:val="20"/>
          <w:szCs w:val="20"/>
        </w:rPr>
      </w:pPr>
      <w:r w:rsidRPr="000C5204">
        <w:rPr>
          <w:sz w:val="20"/>
          <w:szCs w:val="20"/>
        </w:rPr>
        <w:t>Appropriate reference lists, or sources of suitable information are listed below</w:t>
      </w:r>
      <w:r w:rsidR="000C5204">
        <w:rPr>
          <w:sz w:val="20"/>
          <w:szCs w:val="20"/>
        </w:rPr>
        <w:t xml:space="preserve">. CPS </w:t>
      </w:r>
      <w:r w:rsidRPr="000C5204">
        <w:rPr>
          <w:sz w:val="20"/>
          <w:szCs w:val="20"/>
        </w:rPr>
        <w:t xml:space="preserve">endorses the </w:t>
      </w:r>
      <w:hyperlink r:id="rId7" w:tooltip="External website link: Australian Don’t Rush to Crush Handbook" w:history="1">
        <w:r w:rsidRPr="000C5204">
          <w:rPr>
            <w:rFonts w:eastAsia="Times New Roman" w:cs="Helvetica"/>
            <w:i/>
            <w:iCs/>
            <w:color w:val="006600"/>
            <w:sz w:val="20"/>
            <w:szCs w:val="20"/>
            <w:lang w:val="en-AU" w:eastAsia="en-AU"/>
          </w:rPr>
          <w:t>Australian Don’t Rush to Crush Handbook</w:t>
        </w:r>
      </w:hyperlink>
      <w:r w:rsidRPr="000C5204">
        <w:rPr>
          <w:rFonts w:eastAsia="Times New Roman" w:cs="Helvetica"/>
          <w:color w:val="006600"/>
          <w:sz w:val="20"/>
          <w:szCs w:val="20"/>
          <w:lang w:val="en-AU" w:eastAsia="en-AU"/>
        </w:rPr>
        <w:t xml:space="preserve"> </w:t>
      </w:r>
      <w:r w:rsidRPr="000C5204">
        <w:rPr>
          <w:rFonts w:eastAsia="Times New Roman" w:cs="Helvetica"/>
          <w:color w:val="222222"/>
          <w:sz w:val="20"/>
          <w:szCs w:val="20"/>
          <w:lang w:val="en-AU" w:eastAsia="en-AU"/>
        </w:rPr>
        <w:t>from The Society of Hospital Pharmacists of Australia as its primary reference</w:t>
      </w:r>
      <w:r w:rsidR="000C5204">
        <w:rPr>
          <w:rFonts w:eastAsia="Times New Roman" w:cs="Helvetica"/>
          <w:color w:val="222222"/>
          <w:sz w:val="20"/>
          <w:szCs w:val="20"/>
          <w:lang w:val="en-AU" w:eastAsia="en-AU"/>
        </w:rPr>
        <w:t>.</w:t>
      </w:r>
    </w:p>
    <w:p w:rsidR="00B86FE4" w:rsidRPr="000C5204" w:rsidRDefault="007C5322" w:rsidP="00B86FE4">
      <w:pPr>
        <w:numPr>
          <w:ilvl w:val="2"/>
          <w:numId w:val="2"/>
        </w:numPr>
        <w:tabs>
          <w:tab w:val="clear" w:pos="2160"/>
          <w:tab w:val="num" w:pos="1134"/>
        </w:tabs>
        <w:spacing w:after="90" w:line="300" w:lineRule="atLeast"/>
        <w:ind w:left="709" w:firstLine="0"/>
        <w:rPr>
          <w:rFonts w:eastAsia="Times New Roman" w:cs="Helvetica"/>
          <w:color w:val="222222"/>
          <w:sz w:val="20"/>
          <w:szCs w:val="20"/>
          <w:lang w:val="en-AU" w:eastAsia="en-AU"/>
        </w:rPr>
      </w:pPr>
      <w:hyperlink r:id="rId8" w:tooltip="External website link: AMH Drug Choice Companion: Aged Care" w:history="1">
        <w:r w:rsidR="00B86FE4" w:rsidRPr="000C5204">
          <w:rPr>
            <w:rFonts w:eastAsia="Times New Roman" w:cs="Helvetica"/>
            <w:i/>
            <w:iCs/>
            <w:color w:val="006600"/>
            <w:sz w:val="20"/>
            <w:szCs w:val="20"/>
            <w:lang w:val="en-AU" w:eastAsia="en-AU"/>
          </w:rPr>
          <w:t>AMH Drug Choice Companion: Aged Care</w:t>
        </w:r>
      </w:hyperlink>
      <w:r w:rsidR="00B86FE4" w:rsidRPr="000C5204">
        <w:rPr>
          <w:rFonts w:eastAsia="Times New Roman" w:cs="Helvetica"/>
          <w:color w:val="222222"/>
          <w:sz w:val="20"/>
          <w:szCs w:val="20"/>
          <w:lang w:val="en-AU" w:eastAsia="en-AU"/>
        </w:rPr>
        <w:t xml:space="preserve">. Australian Medicines Handbook. (www.amh.net.au) </w:t>
      </w:r>
    </w:p>
    <w:p w:rsidR="00B86FE4" w:rsidRPr="000C5204" w:rsidRDefault="007C5322" w:rsidP="00B86FE4">
      <w:pPr>
        <w:numPr>
          <w:ilvl w:val="2"/>
          <w:numId w:val="2"/>
        </w:numPr>
        <w:tabs>
          <w:tab w:val="clear" w:pos="2160"/>
          <w:tab w:val="num" w:pos="1134"/>
        </w:tabs>
        <w:spacing w:after="90" w:line="300" w:lineRule="atLeast"/>
        <w:ind w:left="709" w:firstLine="0"/>
        <w:rPr>
          <w:rFonts w:eastAsia="Times New Roman" w:cs="Helvetica"/>
          <w:color w:val="222222"/>
          <w:sz w:val="20"/>
          <w:szCs w:val="20"/>
          <w:lang w:val="en-AU" w:eastAsia="en-AU"/>
        </w:rPr>
      </w:pPr>
      <w:hyperlink r:id="rId9" w:tooltip="External website link: Australian Don’t Rush to Crush Handbook" w:history="1">
        <w:r w:rsidR="00B86FE4" w:rsidRPr="000C5204">
          <w:rPr>
            <w:rFonts w:eastAsia="Times New Roman" w:cs="Helvetica"/>
            <w:i/>
            <w:iCs/>
            <w:color w:val="006600"/>
            <w:sz w:val="20"/>
            <w:szCs w:val="20"/>
            <w:lang w:val="en-AU" w:eastAsia="en-AU"/>
          </w:rPr>
          <w:t>Australian Don’t Rush to Crush Handbook</w:t>
        </w:r>
      </w:hyperlink>
      <w:r w:rsidR="00B86FE4" w:rsidRPr="000C5204">
        <w:rPr>
          <w:rFonts w:eastAsia="Times New Roman" w:cs="Helvetica"/>
          <w:color w:val="222222"/>
          <w:sz w:val="20"/>
          <w:szCs w:val="20"/>
          <w:lang w:val="en-AU" w:eastAsia="en-AU"/>
        </w:rPr>
        <w:t xml:space="preserve">. The Society of Hospital Pharmacists of Australia. </w:t>
      </w:r>
      <w:r w:rsidR="00B86FE4" w:rsidRPr="000C5204">
        <w:rPr>
          <w:rFonts w:eastAsia="Times New Roman" w:cs="Helvetica"/>
          <w:color w:val="222222"/>
          <w:sz w:val="20"/>
          <w:szCs w:val="20"/>
          <w:lang w:val="en-AU" w:eastAsia="en-AU"/>
        </w:rPr>
        <w:br/>
        <w:t xml:space="preserve">(www.shpa.org.au/scripts/cgiip.exe/WService=SHPA/ccms.r?Pageid=10243) </w:t>
      </w:r>
    </w:p>
    <w:p w:rsidR="00B86FE4" w:rsidRPr="000C5204" w:rsidRDefault="007C5322" w:rsidP="00B86FE4">
      <w:pPr>
        <w:numPr>
          <w:ilvl w:val="2"/>
          <w:numId w:val="2"/>
        </w:numPr>
        <w:tabs>
          <w:tab w:val="clear" w:pos="2160"/>
          <w:tab w:val="num" w:pos="1134"/>
        </w:tabs>
        <w:spacing w:line="300" w:lineRule="atLeast"/>
        <w:ind w:left="709" w:firstLine="0"/>
        <w:rPr>
          <w:rFonts w:eastAsia="Times New Roman" w:cs="Helvetica"/>
          <w:color w:val="222222"/>
          <w:sz w:val="20"/>
          <w:szCs w:val="20"/>
          <w:lang w:val="en-AU" w:eastAsia="en-AU"/>
        </w:rPr>
      </w:pPr>
      <w:hyperlink r:id="rId10" w:tooltip="External website link: Australian Pharmaceutical Formulary and Handbook" w:history="1">
        <w:r w:rsidR="00B86FE4" w:rsidRPr="000C5204">
          <w:rPr>
            <w:rFonts w:eastAsia="Times New Roman" w:cs="Helvetica"/>
            <w:i/>
            <w:iCs/>
            <w:color w:val="006600"/>
            <w:sz w:val="20"/>
            <w:szCs w:val="20"/>
            <w:lang w:val="en-AU" w:eastAsia="en-AU"/>
          </w:rPr>
          <w:t>Australian Pharmaceutical Formulary and Handbook</w:t>
        </w:r>
      </w:hyperlink>
      <w:r w:rsidR="00B86FE4" w:rsidRPr="000C5204">
        <w:rPr>
          <w:rFonts w:eastAsia="Times New Roman" w:cs="Helvetica"/>
          <w:color w:val="222222"/>
          <w:sz w:val="20"/>
          <w:szCs w:val="20"/>
          <w:lang w:val="en-AU" w:eastAsia="en-AU"/>
        </w:rPr>
        <w:t>. The Pharmaceutical Society of Australia. (www.psa.org.au/shop/apf)</w:t>
      </w:r>
    </w:p>
    <w:p w:rsidR="000C5204" w:rsidRDefault="000C5204" w:rsidP="000C5204">
      <w:pPr>
        <w:pStyle w:val="Heading1"/>
      </w:pPr>
      <w:r>
        <w:t>Further information</w:t>
      </w:r>
    </w:p>
    <w:p w:rsidR="00B86FE4" w:rsidRPr="000C5204" w:rsidRDefault="000C5204" w:rsidP="00B86FE4">
      <w:pPr>
        <w:rPr>
          <w:sz w:val="20"/>
          <w:szCs w:val="20"/>
        </w:rPr>
      </w:pPr>
      <w:r>
        <w:rPr>
          <w:sz w:val="20"/>
          <w:szCs w:val="20"/>
        </w:rPr>
        <w:t>Additional information regarding the alteration of dosage forms may be obtained from any of CPS’s accredited consultant pharmacists.</w:t>
      </w:r>
      <w:r w:rsidR="00B86FE4" w:rsidRPr="000C5204">
        <w:rPr>
          <w:sz w:val="20"/>
          <w:szCs w:val="20"/>
        </w:rPr>
        <w:br w:type="page"/>
      </w:r>
    </w:p>
    <w:p w:rsidR="00B86FE4" w:rsidRPr="00045C1E" w:rsidRDefault="00B86FE4" w:rsidP="000C5204">
      <w:pPr>
        <w:pStyle w:val="Heading1"/>
      </w:pPr>
      <w:r w:rsidRPr="00045C1E">
        <w:lastRenderedPageBreak/>
        <w:t>Flowchart for alteration of dosage forms</w:t>
      </w:r>
    </w:p>
    <w:p w:rsidR="00B86FE4" w:rsidRPr="000C5204" w:rsidRDefault="00B86FE4" w:rsidP="009200A4">
      <w:pPr>
        <w:jc w:val="center"/>
        <w:rPr>
          <w:sz w:val="20"/>
          <w:szCs w:val="20"/>
        </w:rPr>
      </w:pPr>
    </w:p>
    <w:p w:rsidR="00B86FE4" w:rsidRPr="00045C1E" w:rsidRDefault="009200A4" w:rsidP="009200A4">
      <w:pPr>
        <w:jc w:val="center"/>
      </w:pPr>
      <w:r w:rsidRPr="009200A4">
        <w:rPr>
          <w:noProof/>
          <w:lang w:val="en-AU" w:eastAsia="en-AU"/>
        </w:rPr>
        <mc:AlternateContent>
          <mc:Choice Requires="wpg">
            <w:drawing>
              <wp:inline distT="0" distB="0" distL="0" distR="0">
                <wp:extent cx="5721350" cy="5406390"/>
                <wp:effectExtent l="0" t="0" r="12700" b="22860"/>
                <wp:docPr id="40" name="Group 39"/>
                <wp:cNvGraphicFramePr/>
                <a:graphic xmlns:a="http://schemas.openxmlformats.org/drawingml/2006/main">
                  <a:graphicData uri="http://schemas.microsoft.com/office/word/2010/wordprocessingGroup">
                    <wpg:wgp>
                      <wpg:cNvGrpSpPr/>
                      <wpg:grpSpPr>
                        <a:xfrm>
                          <a:off x="0" y="0"/>
                          <a:ext cx="5721350" cy="5406390"/>
                          <a:chOff x="0" y="0"/>
                          <a:chExt cx="5721350" cy="5406390"/>
                        </a:xfrm>
                      </wpg:grpSpPr>
                      <wps:wsp>
                        <wps:cNvPr id="2" name="Rounded Rectangle 2"/>
                        <wps:cNvSpPr/>
                        <wps:spPr>
                          <a:xfrm>
                            <a:off x="1579880" y="0"/>
                            <a:ext cx="2561397" cy="298370"/>
                          </a:xfrm>
                          <a:prstGeom prst="roundRect">
                            <a:avLst/>
                          </a:prstGeom>
                          <a:solidFill>
                            <a:srgbClr val="00660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A4" w:rsidRPr="007D3D3B" w:rsidRDefault="009200A4" w:rsidP="009200A4">
                              <w:pPr>
                                <w:pStyle w:val="NormalWeb"/>
                                <w:spacing w:before="0" w:beforeAutospacing="0" w:after="0" w:afterAutospacing="0" w:line="256" w:lineRule="auto"/>
                                <w:jc w:val="center"/>
                                <w:rPr>
                                  <w:sz w:val="20"/>
                                  <w:szCs w:val="20"/>
                                </w:rPr>
                              </w:pPr>
                              <w:r w:rsidRPr="007D3D3B">
                                <w:rPr>
                                  <w:rFonts w:asciiTheme="minorHAnsi" w:eastAsia="Calibri" w:hAnsi="Calibri"/>
                                  <w:color w:val="FFFFFF" w:themeColor="light1"/>
                                  <w:kern w:val="24"/>
                                  <w:sz w:val="20"/>
                                  <w:szCs w:val="20"/>
                                  <w:lang w:val="en-US"/>
                                </w:rPr>
                                <w:t>Identification of swallowing difficulty</w:t>
                              </w:r>
                            </w:p>
                          </w:txbxContent>
                        </wps:txbx>
                        <wps:bodyPr rot="0" spcFirstLastPara="0" vert="horz" wrap="square" lIns="91440" tIns="45720" rIns="91440" bIns="45720" numCol="1" spcCol="0" rtlCol="0" fromWordArt="0" anchor="ctr" anchorCtr="0" forceAA="0" compatLnSpc="1">
                          <a:prstTxWarp prst="textNoShape">
                            <a:avLst/>
                          </a:prstTxWarp>
                          <a:spAutoFit/>
                        </wps:bodyPr>
                      </wps:wsp>
                      <wps:wsp>
                        <wps:cNvPr id="3" name="Rounded Rectangle 3"/>
                        <wps:cNvSpPr/>
                        <wps:spPr>
                          <a:xfrm>
                            <a:off x="1579880" y="2228850"/>
                            <a:ext cx="2560320" cy="934720"/>
                          </a:xfrm>
                          <a:prstGeom prst="roundRect">
                            <a:avLst/>
                          </a:prstGeom>
                          <a:solidFill>
                            <a:srgbClr val="00660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Documentation of medications which are suitable to be crushed should be noted and be accessible for all nursing staff (such as on the drug chart)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4" name="Group 4"/>
                        <wpg:cNvGrpSpPr/>
                        <wpg:grpSpPr>
                          <a:xfrm>
                            <a:off x="0" y="721360"/>
                            <a:ext cx="5721350" cy="1117600"/>
                            <a:chOff x="0" y="721360"/>
                            <a:chExt cx="5721531" cy="1118181"/>
                          </a:xfrm>
                        </wpg:grpSpPr>
                        <wps:wsp>
                          <wps:cNvPr id="16" name="Rounded Rectangle 16"/>
                          <wps:cNvSpPr/>
                          <wps:spPr>
                            <a:xfrm>
                              <a:off x="0" y="721360"/>
                              <a:ext cx="2560320" cy="1118181"/>
                            </a:xfrm>
                            <a:prstGeom prst="roundRect">
                              <a:avLst/>
                            </a:prstGeom>
                            <a:solidFill>
                              <a:srgbClr val="00660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GP informed</w:t>
                                </w:r>
                              </w:p>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GP encouraged to refer for a RMMR</w:t>
                                </w:r>
                              </w:p>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GP reviews therapy for necessity</w:t>
                                </w:r>
                              </w:p>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GP authorises alteration of dosage form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3161211" y="914691"/>
                              <a:ext cx="2560320" cy="731520"/>
                            </a:xfrm>
                            <a:prstGeom prst="roundRect">
                              <a:avLst/>
                            </a:prstGeom>
                            <a:solidFill>
                              <a:srgbClr val="00660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Swallowing assessment performed; referral performed to a speech pathologist if necessary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5" name="Group 5"/>
                        <wpg:cNvGrpSpPr/>
                        <wpg:grpSpPr>
                          <a:xfrm>
                            <a:off x="0" y="3553460"/>
                            <a:ext cx="5721350" cy="731520"/>
                            <a:chOff x="0" y="3553460"/>
                            <a:chExt cx="5721531" cy="731520"/>
                          </a:xfrm>
                        </wpg:grpSpPr>
                        <wps:wsp>
                          <wps:cNvPr id="14" name="Rounded Rectangle 14"/>
                          <wps:cNvSpPr/>
                          <wps:spPr>
                            <a:xfrm>
                              <a:off x="0" y="3553460"/>
                              <a:ext cx="2560320" cy="731520"/>
                            </a:xfrm>
                            <a:prstGeom prst="roundRect">
                              <a:avLst/>
                            </a:prstGeom>
                            <a:solidFill>
                              <a:srgbClr val="00660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Use a product such as Gloup</w:t>
                                </w:r>
                                <w:r w:rsidRPr="007D3D3B">
                                  <w:rPr>
                                    <w:rFonts w:asciiTheme="minorHAnsi" w:eastAsia="Calibri" w:hAnsi="Calibri"/>
                                    <w:color w:val="FFFFFF" w:themeColor="light1"/>
                                    <w:kern w:val="24"/>
                                    <w:position w:val="7"/>
                                    <w:sz w:val="20"/>
                                    <w:szCs w:val="20"/>
                                    <w:vertAlign w:val="superscript"/>
                                  </w:rPr>
                                  <w:t>TM</w:t>
                                </w:r>
                                <w:r w:rsidRPr="007D3D3B">
                                  <w:rPr>
                                    <w:rFonts w:asciiTheme="minorHAnsi" w:eastAsia="Calibri" w:hAnsi="Calibri"/>
                                    <w:color w:val="FFFFFF" w:themeColor="light1"/>
                                    <w:kern w:val="24"/>
                                    <w:sz w:val="20"/>
                                    <w:szCs w:val="20"/>
                                  </w:rPr>
                                  <w:t xml:space="preserve"> to assist the resident swallow whole tablets in the first instance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a:off x="3161211" y="3553460"/>
                              <a:ext cx="2560320" cy="731520"/>
                            </a:xfrm>
                            <a:prstGeom prst="roundRect">
                              <a:avLst/>
                            </a:prstGeom>
                            <a:solidFill>
                              <a:srgbClr val="00660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If Gloup</w:t>
                                </w:r>
                                <w:r w:rsidRPr="007D3D3B">
                                  <w:rPr>
                                    <w:rFonts w:asciiTheme="minorHAnsi" w:eastAsia="Calibri" w:hAnsi="Calibri"/>
                                    <w:color w:val="FFFFFF" w:themeColor="light1"/>
                                    <w:kern w:val="24"/>
                                    <w:position w:val="7"/>
                                    <w:sz w:val="20"/>
                                    <w:szCs w:val="20"/>
                                    <w:vertAlign w:val="superscript"/>
                                  </w:rPr>
                                  <w:t>TM</w:t>
                                </w:r>
                                <w:r w:rsidRPr="007D3D3B">
                                  <w:rPr>
                                    <w:rFonts w:asciiTheme="minorHAnsi" w:eastAsia="Calibri" w:hAnsi="Calibri"/>
                                    <w:color w:val="FFFFFF" w:themeColor="light1"/>
                                    <w:kern w:val="24"/>
                                    <w:sz w:val="20"/>
                                    <w:szCs w:val="20"/>
                                  </w:rPr>
                                  <w:t xml:space="preserve"> is not used then use an appropriate alternative vehicle (e.g. small amount of yoghurt)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6" name="Rounded Rectangle 6"/>
                        <wps:cNvSpPr/>
                        <wps:spPr>
                          <a:xfrm>
                            <a:off x="1579880" y="4674870"/>
                            <a:ext cx="2560320" cy="731520"/>
                          </a:xfrm>
                          <a:prstGeom prst="roundRect">
                            <a:avLst/>
                          </a:prstGeom>
                          <a:solidFill>
                            <a:srgbClr val="006600"/>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6 monthly review of swallowing ability and the suitability of crushed dosage forms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Elbow Connector 7"/>
                        <wps:cNvCnPr>
                          <a:stCxn id="2" idx="1"/>
                          <a:endCxn id="16" idx="0"/>
                        </wps:cNvCnPr>
                        <wps:spPr>
                          <a:xfrm rot="10800000" flipV="1">
                            <a:off x="1280120" y="165734"/>
                            <a:ext cx="299760" cy="555625"/>
                          </a:xfrm>
                          <a:prstGeom prst="bentConnector2">
                            <a:avLst/>
                          </a:prstGeom>
                          <a:ln w="31750">
                            <a:solidFill>
                              <a:srgbClr val="006600"/>
                            </a:solidFill>
                            <a:tailEnd type="stealth" w="med" len="lg"/>
                          </a:ln>
                        </wps:spPr>
                        <wps:style>
                          <a:lnRef idx="1">
                            <a:schemeClr val="accent1"/>
                          </a:lnRef>
                          <a:fillRef idx="0">
                            <a:schemeClr val="accent1"/>
                          </a:fillRef>
                          <a:effectRef idx="0">
                            <a:schemeClr val="accent1"/>
                          </a:effectRef>
                          <a:fontRef idx="minor">
                            <a:schemeClr val="tx1"/>
                          </a:fontRef>
                        </wps:style>
                        <wps:bodyPr/>
                      </wps:wsp>
                      <wps:wsp>
                        <wps:cNvPr id="8" name="Elbow Connector 8"/>
                        <wps:cNvCnPr>
                          <a:stCxn id="2" idx="3"/>
                          <a:endCxn id="17" idx="0"/>
                        </wps:cNvCnPr>
                        <wps:spPr>
                          <a:xfrm>
                            <a:off x="4140200" y="165735"/>
                            <a:ext cx="301031" cy="748856"/>
                          </a:xfrm>
                          <a:prstGeom prst="bentConnector2">
                            <a:avLst/>
                          </a:prstGeom>
                          <a:ln w="31750">
                            <a:solidFill>
                              <a:srgbClr val="006600"/>
                            </a:solidFill>
                            <a:tailEnd type="stealth" w="med" len="lg"/>
                          </a:ln>
                        </wps:spPr>
                        <wps:style>
                          <a:lnRef idx="1">
                            <a:schemeClr val="accent1"/>
                          </a:lnRef>
                          <a:fillRef idx="0">
                            <a:schemeClr val="accent1"/>
                          </a:fillRef>
                          <a:effectRef idx="0">
                            <a:schemeClr val="accent1"/>
                          </a:effectRef>
                          <a:fontRef idx="minor">
                            <a:schemeClr val="tx1"/>
                          </a:fontRef>
                        </wps:style>
                        <wps:bodyPr/>
                      </wps:wsp>
                      <wps:wsp>
                        <wps:cNvPr id="9" name="Elbow Connector 9"/>
                        <wps:cNvCnPr>
                          <a:stCxn id="16" idx="2"/>
                          <a:endCxn id="3" idx="1"/>
                        </wps:cNvCnPr>
                        <wps:spPr>
                          <a:xfrm rot="16200000" flipH="1">
                            <a:off x="1001375" y="2117705"/>
                            <a:ext cx="857250" cy="299760"/>
                          </a:xfrm>
                          <a:prstGeom prst="bentConnector2">
                            <a:avLst/>
                          </a:prstGeom>
                          <a:ln w="31750">
                            <a:solidFill>
                              <a:srgbClr val="006600"/>
                            </a:solidFill>
                            <a:tailEnd type="stealth" w="med" len="lg"/>
                          </a:ln>
                        </wps:spPr>
                        <wps:style>
                          <a:lnRef idx="1">
                            <a:schemeClr val="accent1"/>
                          </a:lnRef>
                          <a:fillRef idx="0">
                            <a:schemeClr val="accent1"/>
                          </a:fillRef>
                          <a:effectRef idx="0">
                            <a:schemeClr val="accent1"/>
                          </a:effectRef>
                          <a:fontRef idx="minor">
                            <a:schemeClr val="tx1"/>
                          </a:fontRef>
                        </wps:style>
                        <wps:bodyPr/>
                      </wps:wsp>
                      <wps:wsp>
                        <wps:cNvPr id="10" name="Elbow Connector 10"/>
                        <wps:cNvCnPr>
                          <a:stCxn id="3" idx="2"/>
                          <a:endCxn id="14" idx="3"/>
                        </wps:cNvCnPr>
                        <wps:spPr>
                          <a:xfrm rot="5400000">
                            <a:off x="2332315" y="3391495"/>
                            <a:ext cx="755650" cy="299801"/>
                          </a:xfrm>
                          <a:prstGeom prst="bentConnector2">
                            <a:avLst/>
                          </a:prstGeom>
                          <a:ln w="31750">
                            <a:solidFill>
                              <a:srgbClr val="006600"/>
                            </a:solidFill>
                            <a:tailEnd type="stealth" w="med" len="lg"/>
                          </a:ln>
                        </wps:spPr>
                        <wps:style>
                          <a:lnRef idx="1">
                            <a:schemeClr val="accent1"/>
                          </a:lnRef>
                          <a:fillRef idx="0">
                            <a:schemeClr val="accent1"/>
                          </a:fillRef>
                          <a:effectRef idx="0">
                            <a:schemeClr val="accent1"/>
                          </a:effectRef>
                          <a:fontRef idx="minor">
                            <a:schemeClr val="tx1"/>
                          </a:fontRef>
                        </wps:style>
                        <wps:bodyPr/>
                      </wps:wsp>
                      <wps:wsp>
                        <wps:cNvPr id="11" name="Elbow Connector 11"/>
                        <wps:cNvCnPr>
                          <a:stCxn id="3" idx="2"/>
                          <a:endCxn id="15" idx="1"/>
                        </wps:cNvCnPr>
                        <wps:spPr>
                          <a:xfrm rot="16200000" flipH="1">
                            <a:off x="2632750" y="3390859"/>
                            <a:ext cx="755650" cy="301071"/>
                          </a:xfrm>
                          <a:prstGeom prst="bentConnector2">
                            <a:avLst/>
                          </a:prstGeom>
                          <a:ln w="31750">
                            <a:solidFill>
                              <a:srgbClr val="006600"/>
                            </a:solidFill>
                            <a:tailEnd type="stealth" w="med" len="lg"/>
                          </a:ln>
                        </wps:spPr>
                        <wps:style>
                          <a:lnRef idx="1">
                            <a:schemeClr val="accent1"/>
                          </a:lnRef>
                          <a:fillRef idx="0">
                            <a:schemeClr val="accent1"/>
                          </a:fillRef>
                          <a:effectRef idx="0">
                            <a:schemeClr val="accent1"/>
                          </a:effectRef>
                          <a:fontRef idx="minor">
                            <a:schemeClr val="tx1"/>
                          </a:fontRef>
                        </wps:style>
                        <wps:bodyPr/>
                      </wps:wsp>
                      <wps:wsp>
                        <wps:cNvPr id="12" name="Elbow Connector 12"/>
                        <wps:cNvCnPr>
                          <a:stCxn id="15" idx="2"/>
                          <a:endCxn id="6" idx="3"/>
                        </wps:cNvCnPr>
                        <wps:spPr>
                          <a:xfrm rot="5400000">
                            <a:off x="3912891" y="4512290"/>
                            <a:ext cx="755650" cy="301031"/>
                          </a:xfrm>
                          <a:prstGeom prst="bentConnector2">
                            <a:avLst/>
                          </a:prstGeom>
                          <a:ln w="31750">
                            <a:solidFill>
                              <a:srgbClr val="006600"/>
                            </a:solidFill>
                            <a:tailEnd type="stealth" w="med" len="lg"/>
                          </a:ln>
                        </wps:spPr>
                        <wps:style>
                          <a:lnRef idx="1">
                            <a:schemeClr val="accent1"/>
                          </a:lnRef>
                          <a:fillRef idx="0">
                            <a:schemeClr val="accent1"/>
                          </a:fillRef>
                          <a:effectRef idx="0">
                            <a:schemeClr val="accent1"/>
                          </a:effectRef>
                          <a:fontRef idx="minor">
                            <a:schemeClr val="tx1"/>
                          </a:fontRef>
                        </wps:style>
                        <wps:bodyPr/>
                      </wps:wsp>
                      <wps:wsp>
                        <wps:cNvPr id="13" name="Elbow Connector 13"/>
                        <wps:cNvCnPr>
                          <a:stCxn id="14" idx="2"/>
                          <a:endCxn id="6" idx="1"/>
                        </wps:cNvCnPr>
                        <wps:spPr>
                          <a:xfrm rot="16200000" flipH="1">
                            <a:off x="1052175" y="4512925"/>
                            <a:ext cx="755650" cy="299760"/>
                          </a:xfrm>
                          <a:prstGeom prst="bentConnector2">
                            <a:avLst/>
                          </a:prstGeom>
                          <a:ln w="31750">
                            <a:solidFill>
                              <a:srgbClr val="006600"/>
                            </a:solidFill>
                            <a:tailEnd type="stealth" w="med" len="lg"/>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9" o:spid="_x0000_s1026" style="width:450.5pt;height:425.7pt;mso-position-horizontal-relative:char;mso-position-vertical-relative:line" coordsize="57213,5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">
                <v:roundrect id="Rounded Rectangle 2" o:spid="_x0000_s1027" style="position:absolute;left:15798;width:25614;height:298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VV8QA&#10;AADaAAAADwAAAGRycy9kb3ducmV2LnhtbESPX2vCMBTF3wW/Q7jCXmSmFhyjaxQRdNvDhKkM+nZp&#10;7ppic1OSTLtvbwYDHw/nz49TrgbbiQv50DpWMJ9lIIhrp1tuFJyO28dnECEia+wck4JfCrBajkcl&#10;Ftpd+ZMuh9iINMKhQAUmxr6QMtSGLIaZ64mT9+28xZikb6T2eE3jtpN5lj1Jiy0ngsGeNobq8+HH&#10;Jsj0vNvv37+61+lHvsi8qba5rJR6mAzrFxCRhngP/7fftIIc/q6kG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01VfEAAAA2gAAAA8AAAAAAAAAAAAAAAAAmAIAAGRycy9k&#10;b3ducmV2LnhtbFBLBQYAAAAABAAEAPUAAACJAwAAAAA=&#10;" fillcolor="#060" strokecolor="#a8d08d [1945]" strokeweight="1pt">
                  <v:stroke joinstyle="miter"/>
                  <v:textbox style="mso-fit-shape-to-text:t">
                    <w:txbxContent>
                      <w:p w:rsidR="009200A4" w:rsidRPr="007D3D3B" w:rsidRDefault="009200A4" w:rsidP="009200A4">
                        <w:pPr>
                          <w:pStyle w:val="NormalWeb"/>
                          <w:spacing w:before="0" w:beforeAutospacing="0" w:after="0" w:afterAutospacing="0" w:line="256" w:lineRule="auto"/>
                          <w:jc w:val="center"/>
                          <w:rPr>
                            <w:sz w:val="20"/>
                            <w:szCs w:val="20"/>
                          </w:rPr>
                        </w:pPr>
                        <w:r w:rsidRPr="007D3D3B">
                          <w:rPr>
                            <w:rFonts w:asciiTheme="minorHAnsi" w:eastAsia="Calibri" w:hAnsi="Calibri"/>
                            <w:color w:val="FFFFFF" w:themeColor="light1"/>
                            <w:kern w:val="24"/>
                            <w:sz w:val="20"/>
                            <w:szCs w:val="20"/>
                            <w:lang w:val="en-US"/>
                          </w:rPr>
                          <w:t>Identification of swallowing difficulty</w:t>
                        </w:r>
                      </w:p>
                    </w:txbxContent>
                  </v:textbox>
                </v:roundrect>
                <v:roundrect id="Rounded Rectangle 3" o:spid="_x0000_s1028" style="position:absolute;left:15798;top:22288;width:25604;height:93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k7MUA&#10;AADaAAAADwAAAGRycy9kb3ducmV2LnhtbESPT2vCQBTE70K/w/IKvUjdWLGE1FVK/YM3baoHb4/s&#10;MwnNvo3ZNcZv7wqCx2FmfsNMZp2pREuNKy0rGA4iEMSZ1SXnCnZ/y/cYhPPIGivLpOBKDmbTl94E&#10;E20v/Ett6nMRIOwSVFB4XydSuqwgg25ga+LgHW1j0AfZ5FI3eAlwU8mPKPqUBksOCwXW9FNQ9p+e&#10;jYJ21x/ul1s3jw/9zeIYr3A+bk9Kvb12318gPHX+GX6011rBCO5Xwg2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KTsxQAAANoAAAAPAAAAAAAAAAAAAAAAAJgCAABkcnMv&#10;ZG93bnJldi54bWxQSwUGAAAAAAQABAD1AAAAigMAAAAA&#10;" fillcolor="#060" strokecolor="#a8d08d [1945]" strokeweight="1pt">
                  <v:stroke joinstyle="miter"/>
                  <v:textbo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Documentation of medications which are suitable to be crushed should be noted and be accessible for all nursing staff (such as on the drug chart)</w:t>
                        </w:r>
                      </w:p>
                    </w:txbxContent>
                  </v:textbox>
                </v:roundrect>
                <v:group id="Group 4" o:spid="_x0000_s1029" style="position:absolute;top:7213;width:57213;height:11176" coordorigin=",7213" coordsize="57215,1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oundrect id="Rounded Rectangle 16" o:spid="_x0000_s1030" style="position:absolute;top:7213;width:25603;height:111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pqfsIA&#10;AADbAAAADwAAAGRycy9kb3ducmV2LnhtbERPS4vCMBC+L/gfwgh7EU1dUEo1iugq3lxfB29DM7bF&#10;ZlKbbK3/3iwseJuP7znTeWtK0VDtCssKhoMIBHFqdcGZgtNx3Y9BOI+ssbRMCp7kYD7rfEwx0fbB&#10;e2oOPhMhhF2CCnLvq0RKl+Zk0A1sRRy4q60N+gDrTOoaHyHclPIrisbSYMGhIceKljmlt8OvUdCc&#10;esPz+set4ktv932NN7gaNXelPrvtYgLCU+vf4n/3Vof5Y/j7JRw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Omp+wgAAANsAAAAPAAAAAAAAAAAAAAAAAJgCAABkcnMvZG93&#10;bnJldi54bWxQSwUGAAAAAAQABAD1AAAAhwMAAAAA&#10;" fillcolor="#060" strokecolor="#a8d08d [1945]" strokeweight="1pt">
                    <v:stroke joinstyle="miter"/>
                    <v:textbox>
                      <w:txbxContent>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GP informed</w:t>
                          </w:r>
                        </w:p>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GP encouraged to refer for a RMMR</w:t>
                          </w:r>
                        </w:p>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GP reviews therapy for necessity</w:t>
                          </w:r>
                        </w:p>
                        <w:p w:rsidR="009200A4" w:rsidRPr="007D3D3B" w:rsidRDefault="009200A4" w:rsidP="009200A4">
                          <w:pPr>
                            <w:pStyle w:val="ListParagraph"/>
                            <w:numPr>
                              <w:ilvl w:val="0"/>
                              <w:numId w:val="5"/>
                            </w:numPr>
                            <w:spacing w:after="0" w:line="256" w:lineRule="auto"/>
                            <w:rPr>
                              <w:rFonts w:eastAsia="Times New Roman"/>
                              <w:sz w:val="20"/>
                              <w:szCs w:val="20"/>
                            </w:rPr>
                          </w:pPr>
                          <w:r w:rsidRPr="007D3D3B">
                            <w:rPr>
                              <w:rFonts w:eastAsia="Calibri" w:hAnsi="Calibri"/>
                              <w:color w:val="FFFFFF" w:themeColor="light1"/>
                              <w:kern w:val="24"/>
                              <w:sz w:val="20"/>
                              <w:szCs w:val="20"/>
                            </w:rPr>
                            <w:t xml:space="preserve">GP </w:t>
                          </w:r>
                          <w:proofErr w:type="spellStart"/>
                          <w:r w:rsidRPr="007D3D3B">
                            <w:rPr>
                              <w:rFonts w:eastAsia="Calibri" w:hAnsi="Calibri"/>
                              <w:color w:val="FFFFFF" w:themeColor="light1"/>
                              <w:kern w:val="24"/>
                              <w:sz w:val="20"/>
                              <w:szCs w:val="20"/>
                            </w:rPr>
                            <w:t>authorises</w:t>
                          </w:r>
                          <w:proofErr w:type="spellEnd"/>
                          <w:r w:rsidRPr="007D3D3B">
                            <w:rPr>
                              <w:rFonts w:eastAsia="Calibri" w:hAnsi="Calibri"/>
                              <w:color w:val="FFFFFF" w:themeColor="light1"/>
                              <w:kern w:val="24"/>
                              <w:sz w:val="20"/>
                              <w:szCs w:val="20"/>
                            </w:rPr>
                            <w:t xml:space="preserve"> alteration of dosage form</w:t>
                          </w:r>
                        </w:p>
                      </w:txbxContent>
                    </v:textbox>
                  </v:roundrect>
                  <v:roundrect id="Rounded Rectangle 17" o:spid="_x0000_s1031" style="position:absolute;left:31612;top:9146;width:25603;height:73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bP5cMA&#10;AADbAAAADwAAAGRycy9kb3ducmV2LnhtbERPS2vCQBC+F/wPywheRDcKrSFmFdFaeqvPg7chO3lg&#10;djbNbmP677uFQm/z8T0nXfemFh21rrKsYDaNQBBnVldcKLic95MYhPPIGmvLpOCbHKxXg6cUE20f&#10;fKTu5AsRQtglqKD0vkmkdFlJBt3UNsSBy21r0AfYFlK3+AjhppbzKHqRBisODSU2tC0pu5++jILu&#10;Mp5d9we3i2/jj9c8fsPdc/ep1GjYb5YgPPX+X/znftdh/gJ+fwkH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bP5cMAAADbAAAADwAAAAAAAAAAAAAAAACYAgAAZHJzL2Rv&#10;d25yZXYueG1sUEsFBgAAAAAEAAQA9QAAAIgDAAAAAA==&#10;" fillcolor="#060" strokecolor="#a8d08d [1945]" strokeweight="1pt">
                    <v:stroke joinstyle="miter"/>
                    <v:textbo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Swallowing assessment performed; referral performed to a speech pathologist if necessary</w:t>
                          </w:r>
                        </w:p>
                      </w:txbxContent>
                    </v:textbox>
                  </v:roundrect>
                </v:group>
                <v:group id="Group 5" o:spid="_x0000_s1032" style="position:absolute;top:35534;width:57213;height:7315" coordorigin=",35534" coordsize="57215,7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Rounded Rectangle 14" o:spid="_x0000_s1033" style="position:absolute;top:35534;width:25603;height:73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RksMA&#10;AADbAAAADwAAAGRycy9kb3ducmV2LnhtbERPS2vCQBC+F/wPywheRDdKKyFmFdFaeqvPg7chO3lg&#10;djbNbmP677uFQm/z8T0nXfemFh21rrKsYDaNQBBnVldcKLic95MYhPPIGmvLpOCbHKxXg6cUE20f&#10;fKTu5AsRQtglqKD0vkmkdFlJBt3UNsSBy21r0AfYFlK3+AjhppbzKFpIgxWHhhIb2paU3U9fRkF3&#10;Gc+u+4Pbxbfxx2sev+HupftUajTsN0sQnnr/L/5zv+sw/xl+fwkH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RksMAAADbAAAADwAAAAAAAAAAAAAAAACYAgAAZHJzL2Rv&#10;d25yZXYueG1sUEsFBgAAAAAEAAQA9QAAAIgDAAAAAA==&#10;" fillcolor="#060" strokecolor="#a8d08d [1945]" strokeweight="1pt">
                    <v:stroke joinstyle="miter"/>
                    <v:textbo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 xml:space="preserve">Use a product such as </w:t>
                          </w:r>
                          <w:proofErr w:type="spellStart"/>
                          <w:r w:rsidRPr="007D3D3B">
                            <w:rPr>
                              <w:rFonts w:asciiTheme="minorHAnsi" w:eastAsia="Calibri" w:hAnsi="Calibri"/>
                              <w:color w:val="FFFFFF" w:themeColor="light1"/>
                              <w:kern w:val="24"/>
                              <w:sz w:val="20"/>
                              <w:szCs w:val="20"/>
                            </w:rPr>
                            <w:t>Gloup</w:t>
                          </w:r>
                          <w:proofErr w:type="spellEnd"/>
                          <w:r w:rsidRPr="007D3D3B">
                            <w:rPr>
                              <w:rFonts w:asciiTheme="minorHAnsi" w:eastAsia="Calibri" w:hAnsi="Calibri"/>
                              <w:color w:val="FFFFFF" w:themeColor="light1"/>
                              <w:kern w:val="24"/>
                              <w:position w:val="7"/>
                              <w:sz w:val="20"/>
                              <w:szCs w:val="20"/>
                              <w:vertAlign w:val="superscript"/>
                            </w:rPr>
                            <w:t>TM</w:t>
                          </w:r>
                          <w:r w:rsidRPr="007D3D3B">
                            <w:rPr>
                              <w:rFonts w:asciiTheme="minorHAnsi" w:eastAsia="Calibri" w:hAnsi="Calibri"/>
                              <w:color w:val="FFFFFF" w:themeColor="light1"/>
                              <w:kern w:val="24"/>
                              <w:sz w:val="20"/>
                              <w:szCs w:val="20"/>
                            </w:rPr>
                            <w:t xml:space="preserve"> to assist the resident swallow whole tablets in the first instance</w:t>
                          </w:r>
                        </w:p>
                      </w:txbxContent>
                    </v:textbox>
                  </v:roundrect>
                  <v:roundrect id="Rounded Rectangle 15" o:spid="_x0000_s1034" style="position:absolute;left:31612;top:35534;width:25603;height:73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0CcIA&#10;AADbAAAADwAAAGRycy9kb3ducmV2LnhtbERPS4vCMBC+L/gfwgh7EU1dcCnVKKKreHN9HbwNzdgW&#10;m0ltsrX+eyMseJuP7zmTWWtK0VDtCssKhoMIBHFqdcGZguNh1Y9BOI+ssbRMCh7kYDbtfEww0fbO&#10;O2r2PhMhhF2CCnLvq0RKl+Zk0A1sRRy4i60N+gDrTOoa7yHclPIrir6lwYJDQ44VLXJKr/s/o6A5&#10;9oan1a9bxufe9ucSr3E5am5KfXbb+RiEp9a/xf/ujQ7zR/D6JRwgp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6PQJwgAAANsAAAAPAAAAAAAAAAAAAAAAAJgCAABkcnMvZG93&#10;bnJldi54bWxQSwUGAAAAAAQABAD1AAAAhwMAAAAA&#10;" fillcolor="#060" strokecolor="#a8d08d [1945]" strokeweight="1pt">
                    <v:stroke joinstyle="miter"/>
                    <v:textbo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 xml:space="preserve">If </w:t>
                          </w:r>
                          <w:proofErr w:type="spellStart"/>
                          <w:r w:rsidRPr="007D3D3B">
                            <w:rPr>
                              <w:rFonts w:asciiTheme="minorHAnsi" w:eastAsia="Calibri" w:hAnsi="Calibri"/>
                              <w:color w:val="FFFFFF" w:themeColor="light1"/>
                              <w:kern w:val="24"/>
                              <w:sz w:val="20"/>
                              <w:szCs w:val="20"/>
                            </w:rPr>
                            <w:t>Gloup</w:t>
                          </w:r>
                          <w:proofErr w:type="spellEnd"/>
                          <w:r w:rsidRPr="007D3D3B">
                            <w:rPr>
                              <w:rFonts w:asciiTheme="minorHAnsi" w:eastAsia="Calibri" w:hAnsi="Calibri"/>
                              <w:color w:val="FFFFFF" w:themeColor="light1"/>
                              <w:kern w:val="24"/>
                              <w:position w:val="7"/>
                              <w:sz w:val="20"/>
                              <w:szCs w:val="20"/>
                              <w:vertAlign w:val="superscript"/>
                            </w:rPr>
                            <w:t>TM</w:t>
                          </w:r>
                          <w:r w:rsidRPr="007D3D3B">
                            <w:rPr>
                              <w:rFonts w:asciiTheme="minorHAnsi" w:eastAsia="Calibri" w:hAnsi="Calibri"/>
                              <w:color w:val="FFFFFF" w:themeColor="light1"/>
                              <w:kern w:val="24"/>
                              <w:sz w:val="20"/>
                              <w:szCs w:val="20"/>
                            </w:rPr>
                            <w:t xml:space="preserve"> is not used then use an appropriate alternative vehicle (e.g. small amount of yoghurt)</w:t>
                          </w:r>
                        </w:p>
                      </w:txbxContent>
                    </v:textbox>
                  </v:roundrect>
                </v:group>
                <v:roundrect id="Rounded Rectangle 6" o:spid="_x0000_s1035" style="position:absolute;left:15798;top:46748;width:25604;height:73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cHdMMA&#10;AADaAAAADwAAAGRycy9kb3ducmV2LnhtbESPT4vCMBTE7wt+h/CEvYimLiilGkV0FW+u/w7eHs2z&#10;LTYvtcnW+u3NwoLHYWZ+w0znrSlFQ7UrLCsYDiIQxKnVBWcKTsd1PwbhPLLG0jIpeJKD+azzMcVE&#10;2wfvqTn4TAQIuwQV5N5XiZQuzcmgG9iKOHhXWxv0QdaZ1DU+AtyU8iuKxtJgwWEhx4qWOaW3w69R&#10;0Jx6w/P6x63iS2/3fY03uBo1d6U+u+1iAsJT69/h//ZWKxjD35Vw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cHdMMAAADaAAAADwAAAAAAAAAAAAAAAACYAgAAZHJzL2Rv&#10;d25yZXYueG1sUEsFBgAAAAAEAAQA9QAAAIgDAAAAAA==&#10;" fillcolor="#060" strokecolor="#a8d08d [1945]" strokeweight="1pt">
                  <v:stroke joinstyle="miter"/>
                  <v:textbox>
                    <w:txbxContent>
                      <w:p w:rsidR="009200A4" w:rsidRPr="007D3D3B" w:rsidRDefault="009200A4" w:rsidP="009200A4">
                        <w:pPr>
                          <w:pStyle w:val="NormalWeb"/>
                          <w:spacing w:before="0" w:beforeAutospacing="0" w:after="160" w:afterAutospacing="0" w:line="256" w:lineRule="auto"/>
                          <w:jc w:val="center"/>
                          <w:rPr>
                            <w:sz w:val="20"/>
                            <w:szCs w:val="20"/>
                          </w:rPr>
                        </w:pPr>
                        <w:r w:rsidRPr="007D3D3B">
                          <w:rPr>
                            <w:rFonts w:asciiTheme="minorHAnsi" w:eastAsia="Calibri" w:hAnsi="Calibri"/>
                            <w:color w:val="FFFFFF" w:themeColor="light1"/>
                            <w:kern w:val="24"/>
                            <w:sz w:val="20"/>
                            <w:szCs w:val="20"/>
                          </w:rPr>
                          <w:t>6 monthly review of swallowing ability and the suitability of crushed dosage forms</w:t>
                        </w:r>
                      </w:p>
                    </w:txbxContent>
                  </v:textbox>
                </v:roundrect>
                <v:shapetype id="_x0000_t33" coordsize="21600,21600" o:spt="33" o:oned="t" path="m,l21600,r,21600e" filled="f">
                  <v:stroke joinstyle="miter"/>
                  <v:path arrowok="t" fillok="f" o:connecttype="none"/>
                  <o:lock v:ext="edit" shapetype="t"/>
                </v:shapetype>
                <v:shape id="Elbow Connector 7" o:spid="_x0000_s1036" type="#_x0000_t33" style="position:absolute;left:12801;top:1657;width:2997;height:5556;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jMucQAAADaAAAADwAAAGRycy9kb3ducmV2LnhtbESPQWvCQBSE70L/w/IKvRTd2IO10Y2I&#10;tFCFIqa5eHtkX5LF7NuQ3Wrsr+8KBY/DzHzDLFeDbcWZem8cK5hOEhDEpdOGawXF98d4DsIHZI2t&#10;Y1JwJQ+r7GG0xFS7Cx/onIdaRAj7FBU0IXSplL5syKKfuI44epXrLYYo+1rqHi8Rblv5kiQzadFw&#10;XGiwo01D5Sn/sQqOPm932+3X8+bNmPeh+K2sx71ST4/DegEi0BDu4f/2p1bwCrcr8QbI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mMy5xAAAANoAAAAPAAAAAAAAAAAA&#10;AAAAAKECAABkcnMvZG93bnJldi54bWxQSwUGAAAAAAQABAD5AAAAkgMAAAAA&#10;" strokecolor="#060" strokeweight="2.5pt">
                  <v:stroke endarrow="classic" endarrowlength="long"/>
                </v:shape>
                <v:shape id="Elbow Connector 8" o:spid="_x0000_s1037" type="#_x0000_t33" style="position:absolute;left:41402;top:1657;width:3010;height:748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mjyr8AAADaAAAADwAAAGRycy9kb3ducmV2LnhtbERPy4rCMBTdC/5DuII7TXUhQzWKCqK4&#10;GEYrur00tw9sbkoTbcevNwvB5eG8F6vOVOJJjSstK5iMIxDEqdUl5wouyW70A8J5ZI2VZVLwTw5W&#10;y35vgbG2LZ/oefa5CCHsYlRQeF/HUrq0IINubGviwGW2MegDbHKpG2xDuKnkNIpm0mDJoaHAmrYF&#10;pffzwyhIk01bvda/u2kWHWW2P17/bqerUsNBt56D8NT5r/jjPmgFYWu4Em6AXL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Rmjyr8AAADaAAAADwAAAAAAAAAAAAAAAACh&#10;AgAAZHJzL2Rvd25yZXYueG1sUEsFBgAAAAAEAAQA+QAAAI0DAAAAAA==&#10;" strokecolor="#060" strokeweight="2.5pt">
                  <v:stroke endarrow="classic" endarrowlength="long"/>
                </v:shape>
                <v:shape id="Elbow Connector 9" o:spid="_x0000_s1038" type="#_x0000_t33" style="position:absolute;left:10013;top:21177;width:8573;height:299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w0cEAAADaAAAADwAAAGRycy9kb3ducmV2LnhtbESP3WqDQBSE7wt5h+UEclfXhvTPuoYg&#10;CLnxosYHOLinKrpnxd0Y8/bZQqGXw8x8w6TH1Yxiodn1lhW8RDEI4sbqnlsF9aV4/gDhPLLG0TIp&#10;uJODY7Z5SjHR9sbftFS+FQHCLkEFnfdTIqVrOjLoIjsRB+/HzgZ9kHMr9Yy3ADej3MfxmzTYc1jo&#10;cKK8o2aorkZBLgts7sP7cojL4vI65jWWp1qp3XY9fYHwtPr/8F/7rBV8wu+VcANk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5vDRwQAAANoAAAAPAAAAAAAAAAAAAAAA&#10;AKECAABkcnMvZG93bnJldi54bWxQSwUGAAAAAAQABAD5AAAAjwMAAAAA&#10;" strokecolor="#060" strokeweight="2.5pt">
                  <v:stroke endarrow="classic" endarrowlength="long"/>
                </v:shape>
                <v:shape id="Elbow Connector 10" o:spid="_x0000_s1039" type="#_x0000_t33" style="position:absolute;left:23322;top:33915;width:7557;height:299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MsSsUAAADbAAAADwAAAGRycy9kb3ducmV2LnhtbESPQWvCQBCF74L/YRmhF6kbe6g2dRNE&#10;KVhKKY2C12l2TILZ2ZDdavz3nUPB2wzvzXvfrPLBtepCfWg8G5jPElDEpbcNVwYO+7fHJagQkS22&#10;nsnAjQLk2Xi0wtT6K3/TpYiVkhAOKRqoY+xSrUNZk8Mw8x2xaCffO4yy9pW2PV4l3LX6KUmetcOG&#10;paHGjjY1lefi1xn4wE+3cbv5+6Iavn5u04S3L8XRmIfJsH4FFWmId/P/9c4KvtDLLzK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MsSsUAAADbAAAADwAAAAAAAAAA&#10;AAAAAAChAgAAZHJzL2Rvd25yZXYueG1sUEsFBgAAAAAEAAQA+QAAAJMDAAAAAA==&#10;" strokecolor="#060" strokeweight="2.5pt">
                  <v:stroke endarrow="classic" endarrowlength="long"/>
                </v:shape>
                <v:shape id="Elbow Connector 11" o:spid="_x0000_s1040" type="#_x0000_t33" style="position:absolute;left:26327;top:33908;width:7557;height:30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aQNbwAAADbAAAADwAAAGRycy9kb3ducmV2LnhtbERPSwrCMBDdC94hjOBOU8Uf1ShSKLhx&#10;ofYAQzO2xWZSmljr7Y0guJvH+87u0JtadNS6yrKC2TQCQZxbXXGhILulkw0I55E11pZJwZscHPbD&#10;wQ5jbV98oe7qCxFC2MWooPS+iaV0eUkG3dQ2xIG729agD7AtpG7xFcJNLedRtJIGKw4NJTaUlJQ/&#10;rk+jIJEp5u/HultE5/S2rJMMz8dMqfGoP25BeOr9X/xzn3SYP4PvL+EAuf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x7aQNbwAAADbAAAADwAAAAAAAAAAAAAAAAChAgAA&#10;ZHJzL2Rvd25yZXYueG1sUEsFBgAAAAAEAAQA+QAAAIoDAAAAAA==&#10;" strokecolor="#060" strokeweight="2.5pt">
                  <v:stroke endarrow="classic" endarrowlength="long"/>
                </v:shape>
                <v:shape id="Elbow Connector 12" o:spid="_x0000_s1041" type="#_x0000_t33" style="position:absolute;left:39128;top:45123;width:7557;height:301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0XpsMAAADbAAAADwAAAGRycy9kb3ducmV2LnhtbERPTWvCQBC9C/0PyxR6EbMxB62pq5SU&#10;gqWImApep9lpEpqdDdmtSf69WxC8zeN9zno7mEZcqHO1ZQXzKAZBXFhdc6ng9PU+ewbhPLLGxjIp&#10;GMnBdvMwWWOqbc9HuuS+FCGEXYoKKu/bVEpXVGTQRbYlDtyP7Qz6ALtS6g77EG4amcTxQhqsOTRU&#10;2FJWUfGb/xkFn7g3mdnNP5blcPgepzG/rfKzUk+Pw+sLCE+Dv4tv7p0O8xP4/yUcID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tF6bDAAAA2wAAAA8AAAAAAAAAAAAA&#10;AAAAoQIAAGRycy9kb3ducmV2LnhtbFBLBQYAAAAABAAEAPkAAACRAwAAAAA=&#10;" strokecolor="#060" strokeweight="2.5pt">
                  <v:stroke endarrow="classic" endarrowlength="long"/>
                </v:shape>
                <v:shape id="Elbow Connector 13" o:spid="_x0000_s1042" type="#_x0000_t33" style="position:absolute;left:10521;top:45129;width:7557;height:299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ir2b4AAADbAAAADwAAAGRycy9kb3ducmV2LnhtbERPy6rCMBDdC/cfwlxwp6nXJ9UoUii4&#10;caHtBwzN2BabSWlya/17Iwju5nCeszsMphE9da62rGA2jUAQF1bXXCrIs3SyAeE8ssbGMil4koPD&#10;/me0w1jbB1+ov/pShBB2MSqovG9jKV1RkUE3tS1x4G62M+gD7EqpO3yEcNPIvyhaSYM1h4YKW0oq&#10;Ku7Xf6MgkSkWz/u6X0TnNFs2SY7nY67U+Hc4bkF4GvxX/HGfdJg/h/cv4QC5f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YKKvZvgAAANsAAAAPAAAAAAAAAAAAAAAAAKEC&#10;AABkcnMvZG93bnJldi54bWxQSwUGAAAAAAQABAD5AAAAjAMAAAAA&#10;" strokecolor="#060" strokeweight="2.5pt">
                  <v:stroke endarrow="classic" endarrowlength="long"/>
                </v:shape>
                <w10:anchorlock/>
              </v:group>
            </w:pict>
          </mc:Fallback>
        </mc:AlternateContent>
      </w:r>
    </w:p>
    <w:p w:rsidR="00C53822" w:rsidRDefault="00C53822"/>
    <w:sectPr w:rsidR="00C53822" w:rsidSect="00B86FE4">
      <w:headerReference w:type="default" r:id="rId11"/>
      <w:footerReference w:type="default" r:id="rId12"/>
      <w:headerReference w:type="first" r:id="rId13"/>
      <w:footerReference w:type="first" r:id="rId14"/>
      <w:pgSz w:w="11906" w:h="16838"/>
      <w:pgMar w:top="1134" w:right="1440" w:bottom="1701" w:left="1440" w:header="993" w:footer="26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322" w:rsidRDefault="007C5322" w:rsidP="00B86FE4">
      <w:pPr>
        <w:spacing w:after="0" w:line="240" w:lineRule="auto"/>
      </w:pPr>
      <w:r>
        <w:separator/>
      </w:r>
    </w:p>
  </w:endnote>
  <w:endnote w:type="continuationSeparator" w:id="0">
    <w:p w:rsidR="007C5322" w:rsidRDefault="007C5322" w:rsidP="00B86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945"/>
      <w:gridCol w:w="1694"/>
      <w:gridCol w:w="1694"/>
      <w:gridCol w:w="1693"/>
    </w:tblGrid>
    <w:tr w:rsidR="00B86FE4" w:rsidTr="00045C1E">
      <w:trPr>
        <w:trHeight w:val="414"/>
      </w:trPr>
      <w:tc>
        <w:tcPr>
          <w:tcW w:w="2185" w:type="pct"/>
          <w:tcBorders>
            <w:top w:val="single" w:sz="12" w:space="0" w:color="006600"/>
          </w:tcBorders>
          <w:vAlign w:val="bottom"/>
        </w:tcPr>
        <w:p w:rsidR="00B86FE4" w:rsidRPr="00F02B6E" w:rsidRDefault="00B86FE4" w:rsidP="00B86FE4">
          <w:pPr>
            <w:pStyle w:val="Footer"/>
            <w:rPr>
              <w:b/>
              <w:color w:val="404040" w:themeColor="text1" w:themeTint="BF"/>
            </w:rPr>
          </w:pPr>
          <w:r w:rsidRPr="00F02B6E">
            <w:rPr>
              <w:b/>
              <w:color w:val="404040" w:themeColor="text1" w:themeTint="BF"/>
            </w:rPr>
            <w:t xml:space="preserve">Consultant </w:t>
          </w:r>
          <w:r w:rsidRPr="00F02B6E">
            <w:rPr>
              <w:b/>
              <w:color w:val="006600"/>
            </w:rPr>
            <w:t>P</w:t>
          </w:r>
          <w:r w:rsidRPr="00F02B6E">
            <w:rPr>
              <w:b/>
              <w:color w:val="404040" w:themeColor="text1" w:themeTint="BF"/>
            </w:rPr>
            <w:t xml:space="preserve">harmacy </w:t>
          </w:r>
          <w:r w:rsidRPr="00F02B6E">
            <w:rPr>
              <w:b/>
              <w:color w:val="006600"/>
            </w:rPr>
            <w:t>S</w:t>
          </w:r>
          <w:r w:rsidRPr="00F02B6E">
            <w:rPr>
              <w:b/>
              <w:color w:val="404040" w:themeColor="text1" w:themeTint="BF"/>
            </w:rPr>
            <w:t>ervices</w:t>
          </w:r>
        </w:p>
      </w:tc>
      <w:tc>
        <w:tcPr>
          <w:tcW w:w="938" w:type="pct"/>
          <w:tcBorders>
            <w:top w:val="single" w:sz="12" w:space="0" w:color="006600"/>
          </w:tcBorders>
        </w:tcPr>
        <w:p w:rsidR="00B86FE4" w:rsidRDefault="00B86FE4" w:rsidP="00B86FE4">
          <w:pPr>
            <w:pStyle w:val="Footer"/>
          </w:pPr>
        </w:p>
      </w:tc>
      <w:tc>
        <w:tcPr>
          <w:tcW w:w="938" w:type="pct"/>
          <w:tcBorders>
            <w:top w:val="single" w:sz="12" w:space="0" w:color="006600"/>
          </w:tcBorders>
        </w:tcPr>
        <w:p w:rsidR="00B86FE4" w:rsidRDefault="00B86FE4" w:rsidP="00B86FE4">
          <w:pPr>
            <w:pStyle w:val="Footer"/>
          </w:pPr>
        </w:p>
      </w:tc>
      <w:tc>
        <w:tcPr>
          <w:tcW w:w="938" w:type="pct"/>
          <w:tcBorders>
            <w:top w:val="single" w:sz="12" w:space="0" w:color="006600"/>
          </w:tcBorders>
        </w:tcPr>
        <w:p w:rsidR="00B86FE4" w:rsidRDefault="00B86FE4" w:rsidP="00B86FE4">
          <w:pPr>
            <w:pStyle w:val="Footer"/>
          </w:pPr>
        </w:p>
      </w:tc>
    </w:tr>
    <w:tr w:rsidR="00B86FE4" w:rsidRPr="00F02B6E" w:rsidTr="00045C1E">
      <w:tc>
        <w:tcPr>
          <w:tcW w:w="2185" w:type="pct"/>
        </w:tcPr>
        <w:p w:rsidR="00B86FE4" w:rsidRPr="00F02B6E" w:rsidRDefault="00B86FE4" w:rsidP="00B86FE4">
          <w:pPr>
            <w:pStyle w:val="Footer"/>
            <w:rPr>
              <w:color w:val="404040" w:themeColor="text1" w:themeTint="BF"/>
              <w:sz w:val="16"/>
              <w:szCs w:val="18"/>
            </w:rPr>
          </w:pPr>
          <w:r>
            <w:rPr>
              <w:color w:val="404040" w:themeColor="text1" w:themeTint="BF"/>
              <w:sz w:val="16"/>
              <w:szCs w:val="18"/>
            </w:rPr>
            <w:t>Shop 6, Lower Level, Bellerive Quay</w:t>
          </w:r>
        </w:p>
      </w:tc>
      <w:tc>
        <w:tcPr>
          <w:tcW w:w="938" w:type="pct"/>
        </w:tcPr>
        <w:p w:rsidR="00B86FE4" w:rsidRPr="00F02B6E" w:rsidRDefault="00B86FE4" w:rsidP="00B86FE4">
          <w:pPr>
            <w:pStyle w:val="Footer"/>
            <w:rPr>
              <w:b/>
              <w:color w:val="006600"/>
              <w:sz w:val="16"/>
              <w:szCs w:val="18"/>
            </w:rPr>
          </w:pPr>
          <w:r>
            <w:rPr>
              <w:b/>
              <w:color w:val="006600"/>
              <w:sz w:val="16"/>
              <w:szCs w:val="18"/>
            </w:rPr>
            <w:t xml:space="preserve">DR </w:t>
          </w:r>
          <w:r w:rsidRPr="00F02B6E">
            <w:rPr>
              <w:b/>
              <w:color w:val="006600"/>
              <w:sz w:val="16"/>
              <w:szCs w:val="18"/>
            </w:rPr>
            <w:t>SHANE JACKSON</w:t>
          </w:r>
        </w:p>
      </w:tc>
      <w:tc>
        <w:tcPr>
          <w:tcW w:w="938" w:type="pct"/>
        </w:tcPr>
        <w:p w:rsidR="00B86FE4" w:rsidRPr="00F02B6E" w:rsidRDefault="00B86FE4" w:rsidP="00B86FE4">
          <w:pPr>
            <w:pStyle w:val="Footer"/>
            <w:rPr>
              <w:b/>
              <w:color w:val="006600"/>
              <w:sz w:val="16"/>
              <w:szCs w:val="18"/>
            </w:rPr>
          </w:pPr>
          <w:r>
            <w:rPr>
              <w:b/>
              <w:color w:val="006600"/>
              <w:sz w:val="16"/>
              <w:szCs w:val="18"/>
            </w:rPr>
            <w:t xml:space="preserve">DR </w:t>
          </w:r>
          <w:r w:rsidRPr="00F02B6E">
            <w:rPr>
              <w:b/>
              <w:color w:val="006600"/>
              <w:sz w:val="16"/>
              <w:szCs w:val="18"/>
            </w:rPr>
            <w:t>PETER TENNI</w:t>
          </w:r>
        </w:p>
      </w:tc>
      <w:tc>
        <w:tcPr>
          <w:tcW w:w="938" w:type="pct"/>
        </w:tcPr>
        <w:p w:rsidR="00B86FE4" w:rsidRPr="00F02B6E" w:rsidRDefault="00B86FE4" w:rsidP="00B86FE4">
          <w:pPr>
            <w:pStyle w:val="Footer"/>
            <w:rPr>
              <w:b/>
              <w:color w:val="006600"/>
              <w:sz w:val="16"/>
              <w:szCs w:val="18"/>
            </w:rPr>
          </w:pPr>
          <w:r>
            <w:rPr>
              <w:b/>
              <w:color w:val="006600"/>
              <w:sz w:val="16"/>
              <w:szCs w:val="18"/>
            </w:rPr>
            <w:t xml:space="preserve">DR </w:t>
          </w:r>
          <w:r w:rsidRPr="00F02B6E">
            <w:rPr>
              <w:b/>
              <w:color w:val="006600"/>
              <w:sz w:val="16"/>
              <w:szCs w:val="18"/>
            </w:rPr>
            <w:t>ANDREW STAFFORD</w:t>
          </w:r>
        </w:p>
      </w:tc>
    </w:tr>
    <w:tr w:rsidR="00B86FE4" w:rsidRPr="00F02B6E" w:rsidTr="00045C1E">
      <w:tc>
        <w:tcPr>
          <w:tcW w:w="2185" w:type="pct"/>
        </w:tcPr>
        <w:p w:rsidR="00B86FE4" w:rsidRPr="00F02B6E" w:rsidRDefault="00B86FE4" w:rsidP="00B86FE4">
          <w:pPr>
            <w:pStyle w:val="Footer"/>
            <w:rPr>
              <w:color w:val="404040" w:themeColor="text1" w:themeTint="BF"/>
              <w:sz w:val="16"/>
              <w:szCs w:val="18"/>
            </w:rPr>
          </w:pPr>
          <w:r w:rsidRPr="00B86FE4">
            <w:rPr>
              <w:color w:val="404040" w:themeColor="text1" w:themeTint="BF"/>
              <w:sz w:val="16"/>
              <w:szCs w:val="18"/>
            </w:rPr>
            <w:t xml:space="preserve">31 Cambridge St, Bellerive, TAS, 7018  </w:t>
          </w:r>
        </w:p>
      </w:tc>
      <w:tc>
        <w:tcPr>
          <w:tcW w:w="938"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Mobile: 0408 485 430</w:t>
          </w:r>
        </w:p>
      </w:tc>
      <w:tc>
        <w:tcPr>
          <w:tcW w:w="938"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Mobile: 0439 850 086</w:t>
          </w:r>
        </w:p>
      </w:tc>
      <w:tc>
        <w:tcPr>
          <w:tcW w:w="938"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Mobile: 0409 296 627</w:t>
          </w:r>
        </w:p>
      </w:tc>
    </w:tr>
    <w:tr w:rsidR="00B86FE4" w:rsidRPr="00F02B6E" w:rsidTr="00045C1E">
      <w:tc>
        <w:tcPr>
          <w:tcW w:w="2185"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Ph: (03) 6244 5511 Fax: (</w:t>
          </w:r>
          <w:r w:rsidRPr="00B86FE4">
            <w:rPr>
              <w:color w:val="404040" w:themeColor="text1" w:themeTint="BF"/>
              <w:sz w:val="16"/>
              <w:szCs w:val="18"/>
            </w:rPr>
            <w:t>03) 6244</w:t>
          </w:r>
          <w:r>
            <w:rPr>
              <w:color w:val="404040" w:themeColor="text1" w:themeTint="BF"/>
              <w:sz w:val="16"/>
              <w:szCs w:val="18"/>
            </w:rPr>
            <w:t xml:space="preserve"> </w:t>
          </w:r>
          <w:r w:rsidRPr="00B86FE4">
            <w:rPr>
              <w:color w:val="404040" w:themeColor="text1" w:themeTint="BF"/>
              <w:sz w:val="16"/>
              <w:szCs w:val="18"/>
            </w:rPr>
            <w:t>5751</w:t>
          </w:r>
        </w:p>
      </w:tc>
      <w:tc>
        <w:tcPr>
          <w:tcW w:w="938" w:type="pct"/>
        </w:tcPr>
        <w:p w:rsidR="00B86FE4" w:rsidRPr="00F02B6E" w:rsidRDefault="007C5322" w:rsidP="00B86FE4">
          <w:pPr>
            <w:pStyle w:val="Footer"/>
            <w:rPr>
              <w:color w:val="404040" w:themeColor="text1" w:themeTint="BF"/>
              <w:sz w:val="16"/>
              <w:szCs w:val="18"/>
            </w:rPr>
          </w:pPr>
          <w:hyperlink r:id="rId1" w:history="1">
            <w:r w:rsidR="00B86FE4" w:rsidRPr="00F02B6E">
              <w:rPr>
                <w:rStyle w:val="Hyperlink"/>
                <w:sz w:val="16"/>
                <w:szCs w:val="18"/>
              </w:rPr>
              <w:t>shane@cpsedu.com.au</w:t>
            </w:r>
          </w:hyperlink>
        </w:p>
      </w:tc>
      <w:tc>
        <w:tcPr>
          <w:tcW w:w="938" w:type="pct"/>
        </w:tcPr>
        <w:p w:rsidR="00B86FE4" w:rsidRPr="00F02B6E" w:rsidRDefault="007C5322" w:rsidP="00B86FE4">
          <w:pPr>
            <w:pStyle w:val="Footer"/>
            <w:rPr>
              <w:color w:val="404040" w:themeColor="text1" w:themeTint="BF"/>
              <w:sz w:val="16"/>
              <w:szCs w:val="18"/>
            </w:rPr>
          </w:pPr>
          <w:hyperlink r:id="rId2" w:history="1">
            <w:r w:rsidR="00B86FE4" w:rsidRPr="00F02B6E">
              <w:rPr>
                <w:rStyle w:val="Hyperlink"/>
                <w:sz w:val="16"/>
                <w:szCs w:val="18"/>
              </w:rPr>
              <w:t>peter@cpsedu.com.au</w:t>
            </w:r>
          </w:hyperlink>
        </w:p>
      </w:tc>
      <w:tc>
        <w:tcPr>
          <w:tcW w:w="938" w:type="pct"/>
        </w:tcPr>
        <w:p w:rsidR="00B86FE4" w:rsidRPr="00F02B6E" w:rsidRDefault="007C5322" w:rsidP="00B86FE4">
          <w:pPr>
            <w:pStyle w:val="Footer"/>
            <w:rPr>
              <w:color w:val="404040" w:themeColor="text1" w:themeTint="BF"/>
              <w:sz w:val="16"/>
              <w:szCs w:val="18"/>
            </w:rPr>
          </w:pPr>
          <w:hyperlink r:id="rId3" w:history="1">
            <w:r w:rsidR="00B86FE4" w:rsidRPr="00F02B6E">
              <w:rPr>
                <w:rStyle w:val="Hyperlink"/>
                <w:sz w:val="16"/>
                <w:szCs w:val="18"/>
              </w:rPr>
              <w:t>andrew@cpsedu.com.au</w:t>
            </w:r>
          </w:hyperlink>
        </w:p>
      </w:tc>
    </w:tr>
    <w:tr w:rsidR="00B86FE4" w:rsidRPr="00F02B6E" w:rsidTr="00045C1E">
      <w:tc>
        <w:tcPr>
          <w:tcW w:w="2185" w:type="pct"/>
        </w:tcPr>
        <w:p w:rsidR="00B86FE4" w:rsidRPr="00F02B6E" w:rsidRDefault="00B86FE4" w:rsidP="00B86FE4">
          <w:pPr>
            <w:pStyle w:val="Footer"/>
            <w:rPr>
              <w:sz w:val="16"/>
              <w:szCs w:val="18"/>
            </w:rPr>
          </w:pPr>
          <w:r w:rsidRPr="00F02B6E">
            <w:rPr>
              <w:color w:val="404040" w:themeColor="text1" w:themeTint="BF"/>
              <w:sz w:val="16"/>
              <w:szCs w:val="18"/>
            </w:rPr>
            <w:t xml:space="preserve">Email: </w:t>
          </w:r>
          <w:hyperlink r:id="rId4" w:history="1">
            <w:r w:rsidRPr="00F02B6E">
              <w:rPr>
                <w:rStyle w:val="Hyperlink"/>
                <w:sz w:val="16"/>
                <w:szCs w:val="18"/>
              </w:rPr>
              <w:t>admin@cpsedu.com.au</w:t>
            </w:r>
          </w:hyperlink>
          <w:r>
            <w:rPr>
              <w:rStyle w:val="Hyperlink"/>
              <w:sz w:val="16"/>
              <w:szCs w:val="18"/>
            </w:rPr>
            <w:t xml:space="preserve"> </w:t>
          </w:r>
          <w:r w:rsidRPr="00F02B6E">
            <w:rPr>
              <w:color w:val="404040" w:themeColor="text1" w:themeTint="BF"/>
              <w:sz w:val="16"/>
              <w:szCs w:val="18"/>
            </w:rPr>
            <w:t xml:space="preserve">Web: </w:t>
          </w:r>
          <w:hyperlink r:id="rId5" w:history="1">
            <w:r w:rsidRPr="00F02B6E">
              <w:rPr>
                <w:rStyle w:val="Hyperlink"/>
                <w:sz w:val="16"/>
                <w:szCs w:val="18"/>
              </w:rPr>
              <w:t>www.cpsedu.com.au</w:t>
            </w:r>
          </w:hyperlink>
        </w:p>
      </w:tc>
      <w:tc>
        <w:tcPr>
          <w:tcW w:w="938" w:type="pct"/>
        </w:tcPr>
        <w:p w:rsidR="00B86FE4" w:rsidRPr="00F02B6E" w:rsidRDefault="00B86FE4" w:rsidP="00B86FE4">
          <w:pPr>
            <w:pStyle w:val="Footer"/>
            <w:rPr>
              <w:color w:val="404040" w:themeColor="text1" w:themeTint="BF"/>
              <w:sz w:val="16"/>
              <w:szCs w:val="18"/>
            </w:rPr>
          </w:pPr>
        </w:p>
      </w:tc>
      <w:tc>
        <w:tcPr>
          <w:tcW w:w="938" w:type="pct"/>
        </w:tcPr>
        <w:p w:rsidR="00B86FE4" w:rsidRPr="00F02B6E" w:rsidRDefault="00B86FE4" w:rsidP="00B86FE4">
          <w:pPr>
            <w:pStyle w:val="Footer"/>
            <w:rPr>
              <w:color w:val="404040" w:themeColor="text1" w:themeTint="BF"/>
              <w:sz w:val="16"/>
              <w:szCs w:val="18"/>
            </w:rPr>
          </w:pPr>
        </w:p>
      </w:tc>
      <w:tc>
        <w:tcPr>
          <w:tcW w:w="938" w:type="pct"/>
        </w:tcPr>
        <w:p w:rsidR="00B86FE4" w:rsidRPr="00F02B6E" w:rsidRDefault="00B86FE4" w:rsidP="00B86FE4">
          <w:pPr>
            <w:pStyle w:val="Footer"/>
            <w:rPr>
              <w:color w:val="404040" w:themeColor="text1" w:themeTint="BF"/>
              <w:sz w:val="16"/>
              <w:szCs w:val="18"/>
            </w:rPr>
          </w:pPr>
        </w:p>
      </w:tc>
    </w:tr>
  </w:tbl>
  <w:p w:rsidR="00B86FE4" w:rsidRDefault="00B86F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945"/>
      <w:gridCol w:w="1694"/>
      <w:gridCol w:w="1694"/>
      <w:gridCol w:w="1693"/>
    </w:tblGrid>
    <w:tr w:rsidR="00B86FE4" w:rsidTr="00045C1E">
      <w:trPr>
        <w:trHeight w:val="414"/>
      </w:trPr>
      <w:tc>
        <w:tcPr>
          <w:tcW w:w="2185" w:type="pct"/>
          <w:tcBorders>
            <w:top w:val="single" w:sz="12" w:space="0" w:color="006600"/>
          </w:tcBorders>
          <w:vAlign w:val="bottom"/>
        </w:tcPr>
        <w:p w:rsidR="00B86FE4" w:rsidRPr="00F02B6E" w:rsidRDefault="00B86FE4" w:rsidP="00B86FE4">
          <w:pPr>
            <w:pStyle w:val="Footer"/>
            <w:rPr>
              <w:b/>
              <w:color w:val="404040" w:themeColor="text1" w:themeTint="BF"/>
            </w:rPr>
          </w:pPr>
          <w:r w:rsidRPr="00F02B6E">
            <w:rPr>
              <w:b/>
              <w:color w:val="404040" w:themeColor="text1" w:themeTint="BF"/>
            </w:rPr>
            <w:t xml:space="preserve">Consultant </w:t>
          </w:r>
          <w:r w:rsidRPr="00F02B6E">
            <w:rPr>
              <w:b/>
              <w:color w:val="006600"/>
            </w:rPr>
            <w:t>P</w:t>
          </w:r>
          <w:r w:rsidRPr="00F02B6E">
            <w:rPr>
              <w:b/>
              <w:color w:val="404040" w:themeColor="text1" w:themeTint="BF"/>
            </w:rPr>
            <w:t xml:space="preserve">harmacy </w:t>
          </w:r>
          <w:r w:rsidRPr="00F02B6E">
            <w:rPr>
              <w:b/>
              <w:color w:val="006600"/>
            </w:rPr>
            <w:t>S</w:t>
          </w:r>
          <w:r w:rsidRPr="00F02B6E">
            <w:rPr>
              <w:b/>
              <w:color w:val="404040" w:themeColor="text1" w:themeTint="BF"/>
            </w:rPr>
            <w:t>ervices</w:t>
          </w:r>
        </w:p>
      </w:tc>
      <w:tc>
        <w:tcPr>
          <w:tcW w:w="938" w:type="pct"/>
          <w:tcBorders>
            <w:top w:val="single" w:sz="12" w:space="0" w:color="006600"/>
          </w:tcBorders>
        </w:tcPr>
        <w:p w:rsidR="00B86FE4" w:rsidRDefault="00B86FE4" w:rsidP="00B86FE4">
          <w:pPr>
            <w:pStyle w:val="Footer"/>
          </w:pPr>
        </w:p>
      </w:tc>
      <w:tc>
        <w:tcPr>
          <w:tcW w:w="938" w:type="pct"/>
          <w:tcBorders>
            <w:top w:val="single" w:sz="12" w:space="0" w:color="006600"/>
          </w:tcBorders>
        </w:tcPr>
        <w:p w:rsidR="00B86FE4" w:rsidRDefault="00B86FE4" w:rsidP="00B86FE4">
          <w:pPr>
            <w:pStyle w:val="Footer"/>
          </w:pPr>
        </w:p>
      </w:tc>
      <w:tc>
        <w:tcPr>
          <w:tcW w:w="938" w:type="pct"/>
          <w:tcBorders>
            <w:top w:val="single" w:sz="12" w:space="0" w:color="006600"/>
          </w:tcBorders>
        </w:tcPr>
        <w:p w:rsidR="00B86FE4" w:rsidRDefault="00B86FE4" w:rsidP="00B86FE4">
          <w:pPr>
            <w:pStyle w:val="Footer"/>
          </w:pPr>
        </w:p>
      </w:tc>
    </w:tr>
    <w:tr w:rsidR="00B86FE4" w:rsidRPr="00F02B6E" w:rsidTr="00045C1E">
      <w:tc>
        <w:tcPr>
          <w:tcW w:w="2185" w:type="pct"/>
        </w:tcPr>
        <w:p w:rsidR="00B86FE4" w:rsidRPr="00F02B6E" w:rsidRDefault="00B86FE4" w:rsidP="00B86FE4">
          <w:pPr>
            <w:pStyle w:val="Footer"/>
            <w:rPr>
              <w:color w:val="404040" w:themeColor="text1" w:themeTint="BF"/>
              <w:sz w:val="16"/>
              <w:szCs w:val="18"/>
            </w:rPr>
          </w:pPr>
          <w:r>
            <w:rPr>
              <w:color w:val="404040" w:themeColor="text1" w:themeTint="BF"/>
              <w:sz w:val="16"/>
              <w:szCs w:val="18"/>
            </w:rPr>
            <w:t>Shop 6, Lower Level, Bellerive Quay</w:t>
          </w:r>
        </w:p>
      </w:tc>
      <w:tc>
        <w:tcPr>
          <w:tcW w:w="938" w:type="pct"/>
        </w:tcPr>
        <w:p w:rsidR="00B86FE4" w:rsidRPr="00F02B6E" w:rsidRDefault="00B86FE4" w:rsidP="00B86FE4">
          <w:pPr>
            <w:pStyle w:val="Footer"/>
            <w:rPr>
              <w:b/>
              <w:color w:val="006600"/>
              <w:sz w:val="16"/>
              <w:szCs w:val="18"/>
            </w:rPr>
          </w:pPr>
          <w:r>
            <w:rPr>
              <w:b/>
              <w:color w:val="006600"/>
              <w:sz w:val="16"/>
              <w:szCs w:val="18"/>
            </w:rPr>
            <w:t xml:space="preserve">DR </w:t>
          </w:r>
          <w:r w:rsidRPr="00F02B6E">
            <w:rPr>
              <w:b/>
              <w:color w:val="006600"/>
              <w:sz w:val="16"/>
              <w:szCs w:val="18"/>
            </w:rPr>
            <w:t>SHANE JACKSON</w:t>
          </w:r>
        </w:p>
      </w:tc>
      <w:tc>
        <w:tcPr>
          <w:tcW w:w="938" w:type="pct"/>
        </w:tcPr>
        <w:p w:rsidR="00B86FE4" w:rsidRPr="00F02B6E" w:rsidRDefault="00B86FE4" w:rsidP="00B86FE4">
          <w:pPr>
            <w:pStyle w:val="Footer"/>
            <w:rPr>
              <w:b/>
              <w:color w:val="006600"/>
              <w:sz w:val="16"/>
              <w:szCs w:val="18"/>
            </w:rPr>
          </w:pPr>
          <w:r>
            <w:rPr>
              <w:b/>
              <w:color w:val="006600"/>
              <w:sz w:val="16"/>
              <w:szCs w:val="18"/>
            </w:rPr>
            <w:t xml:space="preserve">DR </w:t>
          </w:r>
          <w:r w:rsidRPr="00F02B6E">
            <w:rPr>
              <w:b/>
              <w:color w:val="006600"/>
              <w:sz w:val="16"/>
              <w:szCs w:val="18"/>
            </w:rPr>
            <w:t>PETER TENNI</w:t>
          </w:r>
        </w:p>
      </w:tc>
      <w:tc>
        <w:tcPr>
          <w:tcW w:w="938" w:type="pct"/>
        </w:tcPr>
        <w:p w:rsidR="00B86FE4" w:rsidRPr="00F02B6E" w:rsidRDefault="00B86FE4" w:rsidP="00B86FE4">
          <w:pPr>
            <w:pStyle w:val="Footer"/>
            <w:rPr>
              <w:b/>
              <w:color w:val="006600"/>
              <w:sz w:val="16"/>
              <w:szCs w:val="18"/>
            </w:rPr>
          </w:pPr>
          <w:r>
            <w:rPr>
              <w:b/>
              <w:color w:val="006600"/>
              <w:sz w:val="16"/>
              <w:szCs w:val="18"/>
            </w:rPr>
            <w:t xml:space="preserve">DR </w:t>
          </w:r>
          <w:r w:rsidRPr="00F02B6E">
            <w:rPr>
              <w:b/>
              <w:color w:val="006600"/>
              <w:sz w:val="16"/>
              <w:szCs w:val="18"/>
            </w:rPr>
            <w:t>ANDREW STAFFORD</w:t>
          </w:r>
        </w:p>
      </w:tc>
    </w:tr>
    <w:tr w:rsidR="00B86FE4" w:rsidRPr="00F02B6E" w:rsidTr="00045C1E">
      <w:tc>
        <w:tcPr>
          <w:tcW w:w="2185" w:type="pct"/>
        </w:tcPr>
        <w:p w:rsidR="00B86FE4" w:rsidRPr="00F02B6E" w:rsidRDefault="00B86FE4" w:rsidP="00B86FE4">
          <w:pPr>
            <w:pStyle w:val="Footer"/>
            <w:rPr>
              <w:color w:val="404040" w:themeColor="text1" w:themeTint="BF"/>
              <w:sz w:val="16"/>
              <w:szCs w:val="18"/>
            </w:rPr>
          </w:pPr>
          <w:r w:rsidRPr="00B86FE4">
            <w:rPr>
              <w:color w:val="404040" w:themeColor="text1" w:themeTint="BF"/>
              <w:sz w:val="16"/>
              <w:szCs w:val="18"/>
            </w:rPr>
            <w:t xml:space="preserve">31 Cambridge St, Bellerive, TAS, 7018  </w:t>
          </w:r>
        </w:p>
      </w:tc>
      <w:tc>
        <w:tcPr>
          <w:tcW w:w="938"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Mobile: 0408 485 430</w:t>
          </w:r>
        </w:p>
      </w:tc>
      <w:tc>
        <w:tcPr>
          <w:tcW w:w="938"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Mobile: 0439 850 086</w:t>
          </w:r>
        </w:p>
      </w:tc>
      <w:tc>
        <w:tcPr>
          <w:tcW w:w="938"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Mobile: 0409 296 627</w:t>
          </w:r>
        </w:p>
      </w:tc>
    </w:tr>
    <w:tr w:rsidR="00B86FE4" w:rsidRPr="00F02B6E" w:rsidTr="00045C1E">
      <w:tc>
        <w:tcPr>
          <w:tcW w:w="2185" w:type="pct"/>
        </w:tcPr>
        <w:p w:rsidR="00B86FE4" w:rsidRPr="00F02B6E" w:rsidRDefault="00B86FE4" w:rsidP="00B86FE4">
          <w:pPr>
            <w:pStyle w:val="Footer"/>
            <w:rPr>
              <w:color w:val="404040" w:themeColor="text1" w:themeTint="BF"/>
              <w:sz w:val="16"/>
              <w:szCs w:val="18"/>
            </w:rPr>
          </w:pPr>
          <w:r w:rsidRPr="00F02B6E">
            <w:rPr>
              <w:color w:val="404040" w:themeColor="text1" w:themeTint="BF"/>
              <w:sz w:val="16"/>
              <w:szCs w:val="18"/>
            </w:rPr>
            <w:t>Ph: (03) 6244 5511 Fax: (</w:t>
          </w:r>
          <w:r w:rsidRPr="00B86FE4">
            <w:rPr>
              <w:color w:val="404040" w:themeColor="text1" w:themeTint="BF"/>
              <w:sz w:val="16"/>
              <w:szCs w:val="18"/>
            </w:rPr>
            <w:t>03) 6244</w:t>
          </w:r>
          <w:r>
            <w:rPr>
              <w:color w:val="404040" w:themeColor="text1" w:themeTint="BF"/>
              <w:sz w:val="16"/>
              <w:szCs w:val="18"/>
            </w:rPr>
            <w:t xml:space="preserve"> </w:t>
          </w:r>
          <w:r w:rsidRPr="00B86FE4">
            <w:rPr>
              <w:color w:val="404040" w:themeColor="text1" w:themeTint="BF"/>
              <w:sz w:val="16"/>
              <w:szCs w:val="18"/>
            </w:rPr>
            <w:t>5751</w:t>
          </w:r>
        </w:p>
      </w:tc>
      <w:tc>
        <w:tcPr>
          <w:tcW w:w="938" w:type="pct"/>
        </w:tcPr>
        <w:p w:rsidR="00B86FE4" w:rsidRPr="00F02B6E" w:rsidRDefault="007C5322" w:rsidP="00B86FE4">
          <w:pPr>
            <w:pStyle w:val="Footer"/>
            <w:rPr>
              <w:color w:val="404040" w:themeColor="text1" w:themeTint="BF"/>
              <w:sz w:val="16"/>
              <w:szCs w:val="18"/>
            </w:rPr>
          </w:pPr>
          <w:hyperlink r:id="rId1" w:history="1">
            <w:r w:rsidR="00B86FE4" w:rsidRPr="00F02B6E">
              <w:rPr>
                <w:rStyle w:val="Hyperlink"/>
                <w:sz w:val="16"/>
                <w:szCs w:val="18"/>
              </w:rPr>
              <w:t>shane@cpsedu.com.au</w:t>
            </w:r>
          </w:hyperlink>
        </w:p>
      </w:tc>
      <w:tc>
        <w:tcPr>
          <w:tcW w:w="938" w:type="pct"/>
        </w:tcPr>
        <w:p w:rsidR="00B86FE4" w:rsidRPr="00F02B6E" w:rsidRDefault="007C5322" w:rsidP="00B86FE4">
          <w:pPr>
            <w:pStyle w:val="Footer"/>
            <w:rPr>
              <w:color w:val="404040" w:themeColor="text1" w:themeTint="BF"/>
              <w:sz w:val="16"/>
              <w:szCs w:val="18"/>
            </w:rPr>
          </w:pPr>
          <w:hyperlink r:id="rId2" w:history="1">
            <w:r w:rsidR="00B86FE4" w:rsidRPr="00F02B6E">
              <w:rPr>
                <w:rStyle w:val="Hyperlink"/>
                <w:sz w:val="16"/>
                <w:szCs w:val="18"/>
              </w:rPr>
              <w:t>peter@cpsedu.com.au</w:t>
            </w:r>
          </w:hyperlink>
        </w:p>
      </w:tc>
      <w:tc>
        <w:tcPr>
          <w:tcW w:w="938" w:type="pct"/>
        </w:tcPr>
        <w:p w:rsidR="00B86FE4" w:rsidRPr="00F02B6E" w:rsidRDefault="007C5322" w:rsidP="00B86FE4">
          <w:pPr>
            <w:pStyle w:val="Footer"/>
            <w:rPr>
              <w:color w:val="404040" w:themeColor="text1" w:themeTint="BF"/>
              <w:sz w:val="16"/>
              <w:szCs w:val="18"/>
            </w:rPr>
          </w:pPr>
          <w:hyperlink r:id="rId3" w:history="1">
            <w:r w:rsidR="00B86FE4" w:rsidRPr="00F02B6E">
              <w:rPr>
                <w:rStyle w:val="Hyperlink"/>
                <w:sz w:val="16"/>
                <w:szCs w:val="18"/>
              </w:rPr>
              <w:t>andrew@cpsedu.com.au</w:t>
            </w:r>
          </w:hyperlink>
        </w:p>
      </w:tc>
    </w:tr>
    <w:tr w:rsidR="00B86FE4" w:rsidRPr="00F02B6E" w:rsidTr="00045C1E">
      <w:tc>
        <w:tcPr>
          <w:tcW w:w="2185" w:type="pct"/>
        </w:tcPr>
        <w:p w:rsidR="00B86FE4" w:rsidRPr="00F02B6E" w:rsidRDefault="00B86FE4" w:rsidP="00B86FE4">
          <w:pPr>
            <w:pStyle w:val="Footer"/>
            <w:rPr>
              <w:sz w:val="16"/>
              <w:szCs w:val="18"/>
            </w:rPr>
          </w:pPr>
          <w:r w:rsidRPr="00F02B6E">
            <w:rPr>
              <w:color w:val="404040" w:themeColor="text1" w:themeTint="BF"/>
              <w:sz w:val="16"/>
              <w:szCs w:val="18"/>
            </w:rPr>
            <w:t xml:space="preserve">Email: </w:t>
          </w:r>
          <w:hyperlink r:id="rId4" w:history="1">
            <w:r w:rsidRPr="00F02B6E">
              <w:rPr>
                <w:rStyle w:val="Hyperlink"/>
                <w:sz w:val="16"/>
                <w:szCs w:val="18"/>
              </w:rPr>
              <w:t>admin@cpsedu.com.au</w:t>
            </w:r>
          </w:hyperlink>
          <w:r>
            <w:rPr>
              <w:rStyle w:val="Hyperlink"/>
              <w:sz w:val="16"/>
              <w:szCs w:val="18"/>
            </w:rPr>
            <w:t xml:space="preserve"> </w:t>
          </w:r>
          <w:r w:rsidRPr="00F02B6E">
            <w:rPr>
              <w:color w:val="404040" w:themeColor="text1" w:themeTint="BF"/>
              <w:sz w:val="16"/>
              <w:szCs w:val="18"/>
            </w:rPr>
            <w:t xml:space="preserve">Web: </w:t>
          </w:r>
          <w:hyperlink r:id="rId5" w:history="1">
            <w:r w:rsidRPr="00F02B6E">
              <w:rPr>
                <w:rStyle w:val="Hyperlink"/>
                <w:sz w:val="16"/>
                <w:szCs w:val="18"/>
              </w:rPr>
              <w:t>www.cpsedu.com.au</w:t>
            </w:r>
          </w:hyperlink>
        </w:p>
      </w:tc>
      <w:tc>
        <w:tcPr>
          <w:tcW w:w="938" w:type="pct"/>
        </w:tcPr>
        <w:p w:rsidR="00B86FE4" w:rsidRPr="00F02B6E" w:rsidRDefault="00B86FE4" w:rsidP="00B86FE4">
          <w:pPr>
            <w:pStyle w:val="Footer"/>
            <w:rPr>
              <w:color w:val="404040" w:themeColor="text1" w:themeTint="BF"/>
              <w:sz w:val="16"/>
              <w:szCs w:val="18"/>
            </w:rPr>
          </w:pPr>
        </w:p>
      </w:tc>
      <w:tc>
        <w:tcPr>
          <w:tcW w:w="938" w:type="pct"/>
        </w:tcPr>
        <w:p w:rsidR="00B86FE4" w:rsidRPr="00F02B6E" w:rsidRDefault="00B86FE4" w:rsidP="00B86FE4">
          <w:pPr>
            <w:pStyle w:val="Footer"/>
            <w:rPr>
              <w:color w:val="404040" w:themeColor="text1" w:themeTint="BF"/>
              <w:sz w:val="16"/>
              <w:szCs w:val="18"/>
            </w:rPr>
          </w:pPr>
        </w:p>
      </w:tc>
      <w:tc>
        <w:tcPr>
          <w:tcW w:w="938" w:type="pct"/>
        </w:tcPr>
        <w:p w:rsidR="00B86FE4" w:rsidRPr="00F02B6E" w:rsidRDefault="00B86FE4" w:rsidP="00B86FE4">
          <w:pPr>
            <w:pStyle w:val="Footer"/>
            <w:rPr>
              <w:color w:val="404040" w:themeColor="text1" w:themeTint="BF"/>
              <w:sz w:val="16"/>
              <w:szCs w:val="18"/>
            </w:rPr>
          </w:pPr>
        </w:p>
      </w:tc>
    </w:tr>
  </w:tbl>
  <w:p w:rsidR="00B86FE4" w:rsidRDefault="00B86F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322" w:rsidRDefault="007C5322" w:rsidP="00B86FE4">
      <w:pPr>
        <w:spacing w:after="0" w:line="240" w:lineRule="auto"/>
      </w:pPr>
      <w:r>
        <w:separator/>
      </w:r>
    </w:p>
  </w:footnote>
  <w:footnote w:type="continuationSeparator" w:id="0">
    <w:p w:rsidR="007C5322" w:rsidRDefault="007C5322" w:rsidP="00B86F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Look w:val="04A0" w:firstRow="1" w:lastRow="0" w:firstColumn="1" w:lastColumn="0" w:noHBand="0" w:noVBand="1"/>
    </w:tblPr>
    <w:tblGrid>
      <w:gridCol w:w="7371"/>
      <w:gridCol w:w="1645"/>
    </w:tblGrid>
    <w:tr w:rsidR="00B86FE4" w:rsidTr="00B86FE4">
      <w:tc>
        <w:tcPr>
          <w:tcW w:w="7371" w:type="dxa"/>
          <w:tcBorders>
            <w:top w:val="nil"/>
            <w:left w:val="nil"/>
            <w:bottom w:val="single" w:sz="12" w:space="0" w:color="006600"/>
            <w:right w:val="nil"/>
          </w:tcBorders>
        </w:tcPr>
        <w:p w:rsidR="00B86FE4" w:rsidRPr="00B86FE4" w:rsidRDefault="00B86FE4" w:rsidP="00C975C9">
          <w:pPr>
            <w:pStyle w:val="Header"/>
            <w:rPr>
              <w:i/>
              <w:sz w:val="16"/>
              <w:szCs w:val="16"/>
            </w:rPr>
          </w:pPr>
          <w:r w:rsidRPr="00B86FE4">
            <w:rPr>
              <w:i/>
              <w:sz w:val="16"/>
              <w:szCs w:val="16"/>
            </w:rPr>
            <w:t>Alteration of Dosage Forms</w:t>
          </w:r>
          <w:r>
            <w:rPr>
              <w:i/>
              <w:sz w:val="16"/>
              <w:szCs w:val="16"/>
            </w:rPr>
            <w:t xml:space="preserve"> Policy. Review date: </w:t>
          </w:r>
          <w:r w:rsidR="00C975C9">
            <w:rPr>
              <w:i/>
              <w:sz w:val="16"/>
              <w:szCs w:val="16"/>
            </w:rPr>
            <w:fldChar w:fldCharType="begin"/>
          </w:r>
          <w:r w:rsidR="00C975C9">
            <w:rPr>
              <w:i/>
              <w:sz w:val="16"/>
              <w:szCs w:val="16"/>
            </w:rPr>
            <w:instrText xml:space="preserve"> DOCPROPERTY  LastSavedTime \@ "dd/MM/yyyy"</w:instrText>
          </w:r>
          <w:r w:rsidR="00C975C9">
            <w:rPr>
              <w:i/>
              <w:sz w:val="16"/>
              <w:szCs w:val="16"/>
            </w:rPr>
            <w:fldChar w:fldCharType="separate"/>
          </w:r>
          <w:r w:rsidR="00C975C9">
            <w:rPr>
              <w:i/>
              <w:sz w:val="16"/>
              <w:szCs w:val="16"/>
            </w:rPr>
            <w:t>11/05/2015</w:t>
          </w:r>
          <w:r w:rsidR="00C975C9">
            <w:rPr>
              <w:i/>
              <w:sz w:val="16"/>
              <w:szCs w:val="16"/>
            </w:rPr>
            <w:fldChar w:fldCharType="end"/>
          </w:r>
          <w:r>
            <w:rPr>
              <w:i/>
              <w:sz w:val="16"/>
              <w:szCs w:val="16"/>
            </w:rPr>
            <w:fldChar w:fldCharType="begin"/>
          </w:r>
          <w:r>
            <w:rPr>
              <w:i/>
              <w:sz w:val="16"/>
              <w:szCs w:val="16"/>
            </w:rPr>
            <w:instrText xml:space="preserve"> DOCPROPERTY  LastSavedTime  \* MERGEFORMAT </w:instrText>
          </w:r>
          <w:r>
            <w:rPr>
              <w:i/>
              <w:sz w:val="16"/>
              <w:szCs w:val="16"/>
            </w:rPr>
            <w:fldChar w:fldCharType="end"/>
          </w:r>
        </w:p>
      </w:tc>
      <w:tc>
        <w:tcPr>
          <w:tcW w:w="1645" w:type="dxa"/>
          <w:tcBorders>
            <w:top w:val="nil"/>
            <w:left w:val="nil"/>
            <w:bottom w:val="single" w:sz="12" w:space="0" w:color="006600"/>
            <w:right w:val="nil"/>
          </w:tcBorders>
        </w:tcPr>
        <w:p w:rsidR="00B86FE4" w:rsidRDefault="00B86FE4" w:rsidP="00B86FE4">
          <w:pPr>
            <w:pStyle w:val="Header"/>
            <w:jc w:val="right"/>
          </w:pPr>
        </w:p>
      </w:tc>
    </w:tr>
  </w:tbl>
  <w:p w:rsidR="00B86FE4" w:rsidRDefault="00B86FE4">
    <w:pPr>
      <w:pStyle w:val="Header"/>
    </w:pPr>
    <w:r w:rsidRPr="0013028D">
      <w:rPr>
        <w:noProof/>
        <w:lang w:val="en-AU" w:eastAsia="en-AU"/>
      </w:rPr>
      <w:drawing>
        <wp:anchor distT="0" distB="0" distL="114300" distR="114300" simplePos="0" relativeHeight="251659264" behindDoc="1" locked="0" layoutInCell="1" allowOverlap="1" wp14:anchorId="22F8F31E" wp14:editId="4393909A">
          <wp:simplePos x="0" y="0"/>
          <wp:positionH relativeFrom="margin">
            <wp:align>right</wp:align>
          </wp:positionH>
          <wp:positionV relativeFrom="paragraph">
            <wp:posOffset>-677334</wp:posOffset>
          </wp:positionV>
          <wp:extent cx="601133" cy="574480"/>
          <wp:effectExtent l="0" t="0" r="8890" b="0"/>
          <wp:wrapNone/>
          <wp:docPr id="21" name="Picture 0" descr="CPS vector spot logo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S vector spot logo portrait.png"/>
                  <pic:cNvPicPr/>
                </pic:nvPicPr>
                <pic:blipFill>
                  <a:blip r:embed="rId1" cstate="print"/>
                  <a:stretch>
                    <a:fillRect/>
                  </a:stretch>
                </pic:blipFill>
                <pic:spPr>
                  <a:xfrm>
                    <a:off x="0" y="0"/>
                    <a:ext cx="601133" cy="5744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FE4" w:rsidRDefault="00B86FE4" w:rsidP="00B86FE4">
    <w:pPr>
      <w:pStyle w:val="Header"/>
      <w:jc w:val="right"/>
    </w:pPr>
    <w:r>
      <w:rPr>
        <w:noProof/>
        <w:lang w:val="en-AU" w:eastAsia="en-AU"/>
      </w:rPr>
      <w:drawing>
        <wp:inline distT="0" distB="0" distL="0" distR="0" wp14:anchorId="1B519D29" wp14:editId="2506F647">
          <wp:extent cx="3523861" cy="106058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izontal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23861" cy="106058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57057"/>
    <w:multiLevelType w:val="hybridMultilevel"/>
    <w:tmpl w:val="1EBED038"/>
    <w:lvl w:ilvl="0" w:tplc="8842AE1A">
      <w:start w:val="1"/>
      <w:numFmt w:val="bullet"/>
      <w:lvlText w:val="•"/>
      <w:lvlJc w:val="left"/>
      <w:pPr>
        <w:tabs>
          <w:tab w:val="num" w:pos="720"/>
        </w:tabs>
        <w:ind w:left="720" w:hanging="360"/>
      </w:pPr>
      <w:rPr>
        <w:rFonts w:ascii="Times New Roman" w:hAnsi="Times New Roman" w:hint="default"/>
      </w:rPr>
    </w:lvl>
    <w:lvl w:ilvl="1" w:tplc="9DEE42A0" w:tentative="1">
      <w:start w:val="1"/>
      <w:numFmt w:val="bullet"/>
      <w:lvlText w:val="•"/>
      <w:lvlJc w:val="left"/>
      <w:pPr>
        <w:tabs>
          <w:tab w:val="num" w:pos="1440"/>
        </w:tabs>
        <w:ind w:left="1440" w:hanging="360"/>
      </w:pPr>
      <w:rPr>
        <w:rFonts w:ascii="Times New Roman" w:hAnsi="Times New Roman" w:hint="default"/>
      </w:rPr>
    </w:lvl>
    <w:lvl w:ilvl="2" w:tplc="4B125018" w:tentative="1">
      <w:start w:val="1"/>
      <w:numFmt w:val="bullet"/>
      <w:lvlText w:val="•"/>
      <w:lvlJc w:val="left"/>
      <w:pPr>
        <w:tabs>
          <w:tab w:val="num" w:pos="2160"/>
        </w:tabs>
        <w:ind w:left="2160" w:hanging="360"/>
      </w:pPr>
      <w:rPr>
        <w:rFonts w:ascii="Times New Roman" w:hAnsi="Times New Roman" w:hint="default"/>
      </w:rPr>
    </w:lvl>
    <w:lvl w:ilvl="3" w:tplc="3E362172" w:tentative="1">
      <w:start w:val="1"/>
      <w:numFmt w:val="bullet"/>
      <w:lvlText w:val="•"/>
      <w:lvlJc w:val="left"/>
      <w:pPr>
        <w:tabs>
          <w:tab w:val="num" w:pos="2880"/>
        </w:tabs>
        <w:ind w:left="2880" w:hanging="360"/>
      </w:pPr>
      <w:rPr>
        <w:rFonts w:ascii="Times New Roman" w:hAnsi="Times New Roman" w:hint="default"/>
      </w:rPr>
    </w:lvl>
    <w:lvl w:ilvl="4" w:tplc="88B036F2" w:tentative="1">
      <w:start w:val="1"/>
      <w:numFmt w:val="bullet"/>
      <w:lvlText w:val="•"/>
      <w:lvlJc w:val="left"/>
      <w:pPr>
        <w:tabs>
          <w:tab w:val="num" w:pos="3600"/>
        </w:tabs>
        <w:ind w:left="3600" w:hanging="360"/>
      </w:pPr>
      <w:rPr>
        <w:rFonts w:ascii="Times New Roman" w:hAnsi="Times New Roman" w:hint="default"/>
      </w:rPr>
    </w:lvl>
    <w:lvl w:ilvl="5" w:tplc="6EDEAAFC" w:tentative="1">
      <w:start w:val="1"/>
      <w:numFmt w:val="bullet"/>
      <w:lvlText w:val="•"/>
      <w:lvlJc w:val="left"/>
      <w:pPr>
        <w:tabs>
          <w:tab w:val="num" w:pos="4320"/>
        </w:tabs>
        <w:ind w:left="4320" w:hanging="360"/>
      </w:pPr>
      <w:rPr>
        <w:rFonts w:ascii="Times New Roman" w:hAnsi="Times New Roman" w:hint="default"/>
      </w:rPr>
    </w:lvl>
    <w:lvl w:ilvl="6" w:tplc="1E727084" w:tentative="1">
      <w:start w:val="1"/>
      <w:numFmt w:val="bullet"/>
      <w:lvlText w:val="•"/>
      <w:lvlJc w:val="left"/>
      <w:pPr>
        <w:tabs>
          <w:tab w:val="num" w:pos="5040"/>
        </w:tabs>
        <w:ind w:left="5040" w:hanging="360"/>
      </w:pPr>
      <w:rPr>
        <w:rFonts w:ascii="Times New Roman" w:hAnsi="Times New Roman" w:hint="default"/>
      </w:rPr>
    </w:lvl>
    <w:lvl w:ilvl="7" w:tplc="F1DADA92" w:tentative="1">
      <w:start w:val="1"/>
      <w:numFmt w:val="bullet"/>
      <w:lvlText w:val="•"/>
      <w:lvlJc w:val="left"/>
      <w:pPr>
        <w:tabs>
          <w:tab w:val="num" w:pos="5760"/>
        </w:tabs>
        <w:ind w:left="5760" w:hanging="360"/>
      </w:pPr>
      <w:rPr>
        <w:rFonts w:ascii="Times New Roman" w:hAnsi="Times New Roman" w:hint="default"/>
      </w:rPr>
    </w:lvl>
    <w:lvl w:ilvl="8" w:tplc="B1D6F00A" w:tentative="1">
      <w:start w:val="1"/>
      <w:numFmt w:val="bullet"/>
      <w:lvlText w:val="•"/>
      <w:lvlJc w:val="left"/>
      <w:pPr>
        <w:tabs>
          <w:tab w:val="num" w:pos="6480"/>
        </w:tabs>
        <w:ind w:left="6480" w:hanging="360"/>
      </w:pPr>
      <w:rPr>
        <w:rFonts w:ascii="Times New Roman" w:hAnsi="Times New Roman" w:hint="default"/>
      </w:rPr>
    </w:lvl>
  </w:abstractNum>
  <w:abstractNum w:abstractNumId="1">
    <w:nsid w:val="14583A08"/>
    <w:multiLevelType w:val="hybridMultilevel"/>
    <w:tmpl w:val="11A2F3FC"/>
    <w:lvl w:ilvl="0" w:tplc="A35688D2">
      <w:start w:val="1"/>
      <w:numFmt w:val="decimal"/>
      <w:lvlText w:val="%1."/>
      <w:lvlJc w:val="left"/>
      <w:pPr>
        <w:tabs>
          <w:tab w:val="num" w:pos="360"/>
        </w:tabs>
        <w:ind w:left="360" w:hanging="360"/>
      </w:pPr>
    </w:lvl>
    <w:lvl w:ilvl="1" w:tplc="421A5B4E" w:tentative="1">
      <w:start w:val="1"/>
      <w:numFmt w:val="decimal"/>
      <w:lvlText w:val="%2."/>
      <w:lvlJc w:val="left"/>
      <w:pPr>
        <w:tabs>
          <w:tab w:val="num" w:pos="1080"/>
        </w:tabs>
        <w:ind w:left="1080" w:hanging="360"/>
      </w:pPr>
    </w:lvl>
    <w:lvl w:ilvl="2" w:tplc="5366C000" w:tentative="1">
      <w:start w:val="1"/>
      <w:numFmt w:val="decimal"/>
      <w:lvlText w:val="%3."/>
      <w:lvlJc w:val="left"/>
      <w:pPr>
        <w:tabs>
          <w:tab w:val="num" w:pos="1800"/>
        </w:tabs>
        <w:ind w:left="1800" w:hanging="360"/>
      </w:pPr>
    </w:lvl>
    <w:lvl w:ilvl="3" w:tplc="5E7E716C" w:tentative="1">
      <w:start w:val="1"/>
      <w:numFmt w:val="decimal"/>
      <w:lvlText w:val="%4."/>
      <w:lvlJc w:val="left"/>
      <w:pPr>
        <w:tabs>
          <w:tab w:val="num" w:pos="2520"/>
        </w:tabs>
        <w:ind w:left="2520" w:hanging="360"/>
      </w:pPr>
    </w:lvl>
    <w:lvl w:ilvl="4" w:tplc="D846749C" w:tentative="1">
      <w:start w:val="1"/>
      <w:numFmt w:val="decimal"/>
      <w:lvlText w:val="%5."/>
      <w:lvlJc w:val="left"/>
      <w:pPr>
        <w:tabs>
          <w:tab w:val="num" w:pos="3240"/>
        </w:tabs>
        <w:ind w:left="3240" w:hanging="360"/>
      </w:pPr>
    </w:lvl>
    <w:lvl w:ilvl="5" w:tplc="E580F106" w:tentative="1">
      <w:start w:val="1"/>
      <w:numFmt w:val="decimal"/>
      <w:lvlText w:val="%6."/>
      <w:lvlJc w:val="left"/>
      <w:pPr>
        <w:tabs>
          <w:tab w:val="num" w:pos="3960"/>
        </w:tabs>
        <w:ind w:left="3960" w:hanging="360"/>
      </w:pPr>
    </w:lvl>
    <w:lvl w:ilvl="6" w:tplc="FCBA2900" w:tentative="1">
      <w:start w:val="1"/>
      <w:numFmt w:val="decimal"/>
      <w:lvlText w:val="%7."/>
      <w:lvlJc w:val="left"/>
      <w:pPr>
        <w:tabs>
          <w:tab w:val="num" w:pos="4680"/>
        </w:tabs>
        <w:ind w:left="4680" w:hanging="360"/>
      </w:pPr>
    </w:lvl>
    <w:lvl w:ilvl="7" w:tplc="51CA1D92" w:tentative="1">
      <w:start w:val="1"/>
      <w:numFmt w:val="decimal"/>
      <w:lvlText w:val="%8."/>
      <w:lvlJc w:val="left"/>
      <w:pPr>
        <w:tabs>
          <w:tab w:val="num" w:pos="5400"/>
        </w:tabs>
        <w:ind w:left="5400" w:hanging="360"/>
      </w:pPr>
    </w:lvl>
    <w:lvl w:ilvl="8" w:tplc="E920F034" w:tentative="1">
      <w:start w:val="1"/>
      <w:numFmt w:val="decimal"/>
      <w:lvlText w:val="%9."/>
      <w:lvlJc w:val="left"/>
      <w:pPr>
        <w:tabs>
          <w:tab w:val="num" w:pos="6120"/>
        </w:tabs>
        <w:ind w:left="6120" w:hanging="360"/>
      </w:pPr>
    </w:lvl>
  </w:abstractNum>
  <w:abstractNum w:abstractNumId="2">
    <w:nsid w:val="192E3A2B"/>
    <w:multiLevelType w:val="multilevel"/>
    <w:tmpl w:val="A3B02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8E58BD"/>
    <w:multiLevelType w:val="hybridMultilevel"/>
    <w:tmpl w:val="FDAC38E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2325904"/>
    <w:multiLevelType w:val="multilevel"/>
    <w:tmpl w:val="60E81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FE4"/>
    <w:rsid w:val="000C5204"/>
    <w:rsid w:val="00133033"/>
    <w:rsid w:val="00171108"/>
    <w:rsid w:val="00276786"/>
    <w:rsid w:val="00351E49"/>
    <w:rsid w:val="00414144"/>
    <w:rsid w:val="007C5322"/>
    <w:rsid w:val="007D3D3B"/>
    <w:rsid w:val="007E4ACC"/>
    <w:rsid w:val="009200A4"/>
    <w:rsid w:val="00AC304A"/>
    <w:rsid w:val="00B86FE4"/>
    <w:rsid w:val="00C53822"/>
    <w:rsid w:val="00C975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A3E493-470E-4928-BE12-85989A24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FE4"/>
    <w:rPr>
      <w:lang w:val="en-US"/>
    </w:rPr>
  </w:style>
  <w:style w:type="paragraph" w:styleId="Heading1">
    <w:name w:val="heading 1"/>
    <w:basedOn w:val="Normal"/>
    <w:next w:val="Normal"/>
    <w:link w:val="Heading1Char"/>
    <w:uiPriority w:val="9"/>
    <w:qFormat/>
    <w:rsid w:val="00B86FE4"/>
    <w:pPr>
      <w:outlineLvl w:val="0"/>
    </w:pPr>
    <w:rPr>
      <w:b/>
      <w:sz w:val="28"/>
    </w:rPr>
  </w:style>
  <w:style w:type="paragraph" w:styleId="Heading2">
    <w:name w:val="heading 2"/>
    <w:basedOn w:val="Normal"/>
    <w:next w:val="Normal"/>
    <w:link w:val="Heading2Char"/>
    <w:uiPriority w:val="9"/>
    <w:unhideWhenUsed/>
    <w:qFormat/>
    <w:rsid w:val="00B86FE4"/>
    <w:pPr>
      <w:spacing w:before="240"/>
      <w:outlineLvl w:val="1"/>
    </w:pPr>
    <w:rPr>
      <w:b/>
      <w:sz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6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6FE4"/>
  </w:style>
  <w:style w:type="paragraph" w:styleId="Footer">
    <w:name w:val="footer"/>
    <w:basedOn w:val="Normal"/>
    <w:link w:val="FooterChar"/>
    <w:uiPriority w:val="99"/>
    <w:unhideWhenUsed/>
    <w:rsid w:val="00B86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6FE4"/>
  </w:style>
  <w:style w:type="table" w:styleId="TableGrid">
    <w:name w:val="Table Grid"/>
    <w:basedOn w:val="TableNormal"/>
    <w:uiPriority w:val="59"/>
    <w:rsid w:val="00B86FE4"/>
    <w:pPr>
      <w:spacing w:after="0" w:line="240" w:lineRule="auto"/>
    </w:pPr>
    <w:rPr>
      <w:rFonts w:eastAsiaTheme="minorEastAsia"/>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86FE4"/>
    <w:rPr>
      <w:color w:val="0563C1" w:themeColor="hyperlink"/>
      <w:u w:val="single"/>
    </w:rPr>
  </w:style>
  <w:style w:type="character" w:customStyle="1" w:styleId="Heading1Char">
    <w:name w:val="Heading 1 Char"/>
    <w:basedOn w:val="DefaultParagraphFont"/>
    <w:link w:val="Heading1"/>
    <w:uiPriority w:val="9"/>
    <w:rsid w:val="00B86FE4"/>
    <w:rPr>
      <w:b/>
      <w:sz w:val="28"/>
      <w:lang w:val="en-US"/>
    </w:rPr>
  </w:style>
  <w:style w:type="character" w:customStyle="1" w:styleId="Heading2Char">
    <w:name w:val="Heading 2 Char"/>
    <w:basedOn w:val="DefaultParagraphFont"/>
    <w:link w:val="Heading2"/>
    <w:uiPriority w:val="9"/>
    <w:rsid w:val="00B86FE4"/>
    <w:rPr>
      <w:b/>
      <w:sz w:val="20"/>
      <w:lang w:eastAsia="en-AU"/>
    </w:rPr>
  </w:style>
  <w:style w:type="paragraph" w:customStyle="1" w:styleId="BodyText1">
    <w:name w:val="Body Text1"/>
    <w:basedOn w:val="Normal"/>
    <w:rsid w:val="00B86FE4"/>
    <w:pPr>
      <w:widowControl w:val="0"/>
      <w:autoSpaceDE w:val="0"/>
      <w:autoSpaceDN w:val="0"/>
      <w:adjustRightInd w:val="0"/>
      <w:spacing w:after="170" w:line="312" w:lineRule="auto"/>
      <w:textAlignment w:val="center"/>
    </w:pPr>
    <w:rPr>
      <w:rFonts w:ascii="Verdana" w:eastAsia="Times New Roman" w:hAnsi="Verdana" w:cs="Times New Roman"/>
      <w:color w:val="000000"/>
      <w:sz w:val="20"/>
      <w:szCs w:val="20"/>
    </w:rPr>
  </w:style>
  <w:style w:type="paragraph" w:styleId="ListParagraph">
    <w:name w:val="List Paragraph"/>
    <w:basedOn w:val="Normal"/>
    <w:uiPriority w:val="34"/>
    <w:qFormat/>
    <w:rsid w:val="009200A4"/>
    <w:pPr>
      <w:ind w:left="720"/>
      <w:contextualSpacing/>
    </w:pPr>
  </w:style>
  <w:style w:type="paragraph" w:styleId="NormalWeb">
    <w:name w:val="Normal (Web)"/>
    <w:basedOn w:val="Normal"/>
    <w:uiPriority w:val="99"/>
    <w:semiHidden/>
    <w:unhideWhenUsed/>
    <w:rsid w:val="009200A4"/>
    <w:pPr>
      <w:spacing w:before="100" w:beforeAutospacing="1" w:after="100" w:afterAutospacing="1" w:line="240" w:lineRule="auto"/>
    </w:pPr>
    <w:rPr>
      <w:rFonts w:ascii="Times New Roman" w:eastAsiaTheme="minorEastAsia"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816799">
      <w:bodyDiv w:val="1"/>
      <w:marLeft w:val="0"/>
      <w:marRight w:val="0"/>
      <w:marTop w:val="0"/>
      <w:marBottom w:val="0"/>
      <w:divBdr>
        <w:top w:val="none" w:sz="0" w:space="0" w:color="auto"/>
        <w:left w:val="none" w:sz="0" w:space="0" w:color="auto"/>
        <w:bottom w:val="none" w:sz="0" w:space="0" w:color="auto"/>
        <w:right w:val="none" w:sz="0" w:space="0" w:color="auto"/>
      </w:divBdr>
      <w:divsChild>
        <w:div w:id="113799541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h.net.a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hpa.org.au/scripts/cgiip.exe/WService=SHPA/ccms.r?Pageid=10243"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sa.org.au/shop/apf" TargetMode="External"/><Relationship Id="rId4" Type="http://schemas.openxmlformats.org/officeDocument/2006/relationships/webSettings" Target="webSettings.xml"/><Relationship Id="rId9" Type="http://schemas.openxmlformats.org/officeDocument/2006/relationships/hyperlink" Target="http://www.shpa.org.au/scripts/cgiip.exe/WService=SHPA/ccms.r?Pageid=10243"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file:///\\10.66.66.102\CogniPharm\CPS\Admin\andrew@cpsedu.com.au" TargetMode="External"/><Relationship Id="rId2" Type="http://schemas.openxmlformats.org/officeDocument/2006/relationships/hyperlink" Target="mailto:peter@cpsedu.com.au" TargetMode="External"/><Relationship Id="rId1" Type="http://schemas.openxmlformats.org/officeDocument/2006/relationships/hyperlink" Target="file:///\\10.66.66.102\CogniPharm\CPS\Admin\shane@cpsedu.com.au" TargetMode="External"/><Relationship Id="rId5" Type="http://schemas.openxmlformats.org/officeDocument/2006/relationships/hyperlink" Target="file:///\\10.66.66.102\CogniPharm\CPS\Admin\www.cpsedu.com.au" TargetMode="External"/><Relationship Id="rId4" Type="http://schemas.openxmlformats.org/officeDocument/2006/relationships/hyperlink" Target="mailto:admin@cpsedu.com.au"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file:///\\10.66.66.102\CogniPharm\CPS\Admin\andrew@cpsedu.com.au" TargetMode="External"/><Relationship Id="rId2" Type="http://schemas.openxmlformats.org/officeDocument/2006/relationships/hyperlink" Target="mailto:peter@cpsedu.com.au" TargetMode="External"/><Relationship Id="rId1" Type="http://schemas.openxmlformats.org/officeDocument/2006/relationships/hyperlink" Target="file:///\\10.66.66.102\CogniPharm\CPS\Admin\shane@cpsedu.com.au" TargetMode="External"/><Relationship Id="rId5" Type="http://schemas.openxmlformats.org/officeDocument/2006/relationships/hyperlink" Target="file:///\\10.66.66.102\CogniPharm\CPS\Admin\www.cpsedu.com.au" TargetMode="External"/><Relationship Id="rId4" Type="http://schemas.openxmlformats.org/officeDocument/2006/relationships/hyperlink" Target="mailto:admin@cpsedu.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1552</Words>
  <Characters>8852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Stafford</dc:creator>
  <cp:keywords/>
  <dc:description/>
  <cp:lastModifiedBy>Peter Tenni</cp:lastModifiedBy>
  <cp:revision>2</cp:revision>
  <dcterms:created xsi:type="dcterms:W3CDTF">2015-05-17T01:07:00Z</dcterms:created>
  <dcterms:modified xsi:type="dcterms:W3CDTF">2015-05-17T01:07:00Z</dcterms:modified>
</cp:coreProperties>
</file>